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10478">
      <w:pPr>
        <w:pageBreakBefore w:val="0"/>
        <w:tabs>
          <w:tab w:val="left" w:pos="360"/>
        </w:tabs>
        <w:kinsoku/>
        <w:wordWrap/>
        <w:overflowPunct/>
        <w:topLinePunct w:val="0"/>
        <w:bidi w:val="0"/>
        <w:spacing w:before="100" w:beforeAutospacing="1" w:after="100" w:afterAutospacing="1" w:line="360" w:lineRule="auto"/>
        <w:textAlignment w:val="auto"/>
        <w:rPr>
          <w:rFonts w:hint="eastAsia" w:ascii="Times New Roman" w:hAnsi="Times New Roman" w:eastAsia="宋体" w:cs="Times New Roman"/>
          <w:b/>
          <w:sz w:val="24"/>
          <w:szCs w:val="24"/>
        </w:rPr>
      </w:pPr>
      <w:r>
        <w:rPr>
          <w:rFonts w:hint="eastAsia" w:ascii="Times New Roman" w:hAnsi="Times New Roman" w:eastAsia="宋体" w:cs="Times New Roman"/>
          <w:b/>
          <w:sz w:val="24"/>
          <w:szCs w:val="24"/>
        </w:rPr>
        <w:t>附件1</w:t>
      </w:r>
    </w:p>
    <w:p w14:paraId="6D9DE3AF">
      <w:pPr>
        <w:pStyle w:val="2"/>
        <w:pageBreakBefore w:val="0"/>
        <w:kinsoku/>
        <w:wordWrap/>
        <w:overflowPunct/>
        <w:topLinePunct w:val="0"/>
        <w:bidi w:val="0"/>
        <w:spacing w:before="100" w:beforeAutospacing="1" w:after="100" w:afterAutospacing="1" w:line="360" w:lineRule="auto"/>
        <w:contextualSpacing/>
        <w:textAlignment w:val="auto"/>
        <w:rPr>
          <w:rFonts w:ascii="Times New Roman" w:hAnsi="Times New Roman" w:cstheme="minorEastAsia"/>
          <w:color w:val="auto"/>
          <w:sz w:val="21"/>
          <w:szCs w:val="21"/>
        </w:rPr>
      </w:pPr>
      <w:r>
        <w:rPr>
          <w:rFonts w:hint="eastAsia" w:ascii="Times New Roman" w:hAnsi="Times New Roman" w:eastAsia="黑体" w:cs="黑体"/>
          <w:b w:val="0"/>
          <w:bCs w:val="0"/>
          <w:sz w:val="36"/>
          <w:szCs w:val="36"/>
        </w:rPr>
        <w:t>天津市第一中心医院</w:t>
      </w:r>
      <w:r>
        <w:rPr>
          <w:rFonts w:hint="eastAsia" w:eastAsia="黑体" w:cs="黑体"/>
          <w:b w:val="0"/>
          <w:bCs w:val="0"/>
          <w:sz w:val="36"/>
          <w:szCs w:val="36"/>
          <w:lang w:eastAsia="zh-CN"/>
        </w:rPr>
        <w:t>甲型肝炎病毒IgM抗体质控品等采购项目</w:t>
      </w:r>
      <w:r>
        <w:rPr>
          <w:rFonts w:hint="eastAsia" w:ascii="Times New Roman" w:hAnsi="Times New Roman" w:eastAsia="黑体" w:cs="黑体"/>
          <w:b w:val="0"/>
          <w:bCs w:val="0"/>
          <w:sz w:val="36"/>
          <w:szCs w:val="36"/>
        </w:rPr>
        <w:t>院内比选文件</w:t>
      </w:r>
    </w:p>
    <w:p w14:paraId="6137BE5F">
      <w:pPr>
        <w:pageBreakBefore w:val="0"/>
        <w:kinsoku/>
        <w:wordWrap/>
        <w:overflowPunct/>
        <w:topLinePunct w:val="0"/>
        <w:bidi w:val="0"/>
        <w:snapToGrid w:val="0"/>
        <w:spacing w:before="100" w:beforeAutospacing="1" w:after="100" w:afterAutospacing="1" w:line="360" w:lineRule="auto"/>
        <w:ind w:firstLine="480" w:firstLineChars="200"/>
        <w:contextualSpacing/>
        <w:textAlignment w:val="auto"/>
        <w:rPr>
          <w:rFonts w:hint="eastAsia" w:ascii="Times New Roman" w:hAnsi="Times New Roman" w:eastAsia="宋体" w:cstheme="minorEastAsia"/>
          <w:color w:val="000000" w:themeColor="text1"/>
          <w:sz w:val="24"/>
          <w:szCs w:val="24"/>
          <w14:textFill>
            <w14:solidFill>
              <w14:schemeClr w14:val="tx1"/>
            </w14:solidFill>
          </w14:textFill>
        </w:rPr>
      </w:pPr>
      <w:r>
        <w:rPr>
          <w:rFonts w:hint="eastAsia" w:ascii="Times New Roman" w:hAnsi="Times New Roman" w:eastAsia="宋体" w:cstheme="minorEastAsia"/>
          <w:color w:val="000000" w:themeColor="text1"/>
          <w:sz w:val="24"/>
          <w:szCs w:val="24"/>
          <w14:textFill>
            <w14:solidFill>
              <w14:schemeClr w14:val="tx1"/>
            </w14:solidFill>
          </w14:textFill>
        </w:rPr>
        <w:t>天津市第一中心医院以院内比选方式</w:t>
      </w:r>
      <w:r>
        <w:rPr>
          <w:rFonts w:hint="eastAsia" w:ascii="Times New Roman" w:hAnsi="Times New Roman" w:eastAsia="宋体" w:cstheme="minorEastAsia"/>
          <w:color w:val="000000" w:themeColor="text1"/>
          <w:sz w:val="24"/>
          <w:szCs w:val="24"/>
          <w:lang w:eastAsia="zh-CN"/>
          <w14:textFill>
            <w14:solidFill>
              <w14:schemeClr w14:val="tx1"/>
            </w14:solidFill>
          </w14:textFill>
        </w:rPr>
        <w:t>，对</w:t>
      </w:r>
      <w:r>
        <w:rPr>
          <w:rFonts w:hint="eastAsia" w:cstheme="minorEastAsia"/>
          <w:color w:val="000000" w:themeColor="text1"/>
          <w:sz w:val="24"/>
          <w:szCs w:val="24"/>
          <w:lang w:eastAsia="zh-CN"/>
          <w14:textFill>
            <w14:solidFill>
              <w14:schemeClr w14:val="tx1"/>
            </w14:solidFill>
          </w14:textFill>
        </w:rPr>
        <w:t>甲型肝炎病毒IgM抗体质控品等采购项目</w:t>
      </w:r>
      <w:r>
        <w:rPr>
          <w:rFonts w:hint="eastAsia" w:ascii="Times New Roman" w:hAnsi="Times New Roman" w:eastAsia="宋体" w:cstheme="minorEastAsia"/>
          <w:color w:val="000000" w:themeColor="text1"/>
          <w:sz w:val="24"/>
          <w:szCs w:val="24"/>
          <w14:textFill>
            <w14:solidFill>
              <w14:schemeClr w14:val="tx1"/>
            </w14:solidFill>
          </w14:textFill>
        </w:rPr>
        <w:t>实施采购，采用综合评分法，选取一名供应商。</w:t>
      </w:r>
    </w:p>
    <w:p w14:paraId="2181CEB8">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项目名称及编号</w:t>
      </w:r>
    </w:p>
    <w:p w14:paraId="0CFB1A7B">
      <w:pPr>
        <w:keepNext w:val="0"/>
        <w:keepLines w:val="0"/>
        <w:pageBreakBefore w:val="0"/>
        <w:widowControl w:val="0"/>
        <w:numPr>
          <w:ilvl w:val="0"/>
          <w:numId w:val="2"/>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项目名称：天津市第一中心医院</w:t>
      </w:r>
      <w:r>
        <w:rPr>
          <w:rFonts w:hint="eastAsia" w:cs="等线"/>
          <w:color w:val="000000"/>
          <w:sz w:val="24"/>
          <w:szCs w:val="24"/>
          <w:lang w:val="en-US" w:eastAsia="zh-CN"/>
        </w:rPr>
        <w:t>甲型肝炎病毒IgM抗体质控品等采购项目</w:t>
      </w:r>
      <w:r>
        <w:rPr>
          <w:rFonts w:hint="eastAsia" w:ascii="Times New Roman" w:hAnsi="Times New Roman" w:eastAsia="宋体" w:cs="等线"/>
          <w:color w:val="000000"/>
          <w:sz w:val="24"/>
          <w:szCs w:val="24"/>
          <w:lang w:val="en-US" w:eastAsia="zh-CN"/>
        </w:rPr>
        <w:t>。</w:t>
      </w:r>
    </w:p>
    <w:p w14:paraId="4A7114BA">
      <w:pPr>
        <w:keepNext w:val="0"/>
        <w:keepLines w:val="0"/>
        <w:pageBreakBefore w:val="0"/>
        <w:widowControl w:val="0"/>
        <w:numPr>
          <w:ilvl w:val="0"/>
          <w:numId w:val="2"/>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项目编号：</w:t>
      </w:r>
      <w:r>
        <w:rPr>
          <w:rFonts w:hint="eastAsia" w:cs="等线"/>
          <w:color w:val="000000"/>
          <w:sz w:val="24"/>
          <w:szCs w:val="24"/>
          <w:lang w:val="en-US" w:eastAsia="zh-CN"/>
        </w:rPr>
        <w:t>YNBX-2026-G-6004</w:t>
      </w:r>
      <w:r>
        <w:rPr>
          <w:rFonts w:hint="eastAsia" w:ascii="Times New Roman" w:hAnsi="Times New Roman" w:eastAsia="宋体" w:cs="等线"/>
          <w:color w:val="000000"/>
          <w:sz w:val="24"/>
          <w:szCs w:val="24"/>
          <w:lang w:val="en-US" w:eastAsia="zh-CN"/>
        </w:rPr>
        <w:t>。</w:t>
      </w:r>
    </w:p>
    <w:p w14:paraId="6A8459D5">
      <w:pPr>
        <w:keepNext w:val="0"/>
        <w:keepLines w:val="0"/>
        <w:pageBreakBefore w:val="0"/>
        <w:widowControl w:val="0"/>
        <w:numPr>
          <w:ilvl w:val="0"/>
          <w:numId w:val="2"/>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项目预算</w:t>
      </w:r>
      <w:r>
        <w:rPr>
          <w:rFonts w:hint="eastAsia" w:ascii="Times New Roman" w:hAnsi="Times New Roman" w:eastAsia="宋体" w:cs="等线"/>
          <w:color w:val="auto"/>
          <w:sz w:val="24"/>
          <w:szCs w:val="24"/>
          <w:lang w:val="en-US" w:eastAsia="zh-CN"/>
        </w:rPr>
        <w:t>：</w:t>
      </w:r>
      <w:r>
        <w:rPr>
          <w:rFonts w:hint="eastAsia" w:cs="等线"/>
          <w:color w:val="auto"/>
          <w:sz w:val="24"/>
          <w:szCs w:val="24"/>
          <w:lang w:val="en-US" w:eastAsia="zh-CN"/>
        </w:rPr>
        <w:t>4588</w:t>
      </w:r>
      <w:r>
        <w:rPr>
          <w:rFonts w:hint="eastAsia" w:ascii="Times New Roman" w:hAnsi="Times New Roman" w:eastAsia="宋体" w:cs="等线"/>
          <w:color w:val="auto"/>
          <w:sz w:val="24"/>
          <w:szCs w:val="24"/>
          <w:lang w:val="en-US" w:eastAsia="zh-CN"/>
        </w:rPr>
        <w:t>元，报</w:t>
      </w:r>
      <w:r>
        <w:rPr>
          <w:rFonts w:hint="eastAsia" w:ascii="Times New Roman" w:hAnsi="Times New Roman" w:eastAsia="宋体" w:cs="等线"/>
          <w:color w:val="000000"/>
          <w:sz w:val="24"/>
          <w:szCs w:val="24"/>
          <w:lang w:val="en-US" w:eastAsia="zh-CN"/>
        </w:rPr>
        <w:t>价超过最高限价无效。</w:t>
      </w:r>
    </w:p>
    <w:p w14:paraId="58ABFB2C">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项目内容、数量、预算及技术指标</w:t>
      </w:r>
    </w:p>
    <w:tbl>
      <w:tblPr>
        <w:tblStyle w:val="7"/>
        <w:tblW w:w="10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
        <w:gridCol w:w="1710"/>
        <w:gridCol w:w="480"/>
        <w:gridCol w:w="495"/>
        <w:gridCol w:w="6068"/>
        <w:gridCol w:w="1200"/>
      </w:tblGrid>
      <w:tr w14:paraId="1EBE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503" w:type="dxa"/>
            <w:shd w:val="clear" w:color="auto" w:fill="auto"/>
            <w:vAlign w:val="center"/>
          </w:tcPr>
          <w:p w14:paraId="47AB35D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rPr>
            </w:pPr>
            <w:r>
              <w:rPr>
                <w:rFonts w:hint="eastAsia" w:ascii="Times New Roman" w:hAnsi="Times New Roman" w:eastAsia="仿宋" w:cs="仿宋"/>
                <w:b/>
                <w:bCs/>
                <w:color w:val="auto"/>
                <w:sz w:val="24"/>
                <w:szCs w:val="24"/>
              </w:rPr>
              <w:t>序号</w:t>
            </w:r>
          </w:p>
        </w:tc>
        <w:tc>
          <w:tcPr>
            <w:tcW w:w="1710" w:type="dxa"/>
            <w:shd w:val="clear" w:color="auto" w:fill="auto"/>
            <w:vAlign w:val="center"/>
          </w:tcPr>
          <w:p w14:paraId="7814DA08">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rPr>
            </w:pPr>
            <w:r>
              <w:rPr>
                <w:rFonts w:hint="eastAsia" w:ascii="Times New Roman" w:hAnsi="Times New Roman" w:eastAsia="仿宋" w:cs="仿宋"/>
                <w:b/>
                <w:bCs/>
                <w:color w:val="auto"/>
                <w:sz w:val="24"/>
                <w:szCs w:val="24"/>
              </w:rPr>
              <w:t>项目内容</w:t>
            </w:r>
          </w:p>
        </w:tc>
        <w:tc>
          <w:tcPr>
            <w:tcW w:w="480" w:type="dxa"/>
            <w:shd w:val="clear" w:color="auto" w:fill="auto"/>
            <w:vAlign w:val="center"/>
          </w:tcPr>
          <w:p w14:paraId="5A63D47B">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rPr>
            </w:pPr>
            <w:r>
              <w:rPr>
                <w:rFonts w:hint="eastAsia" w:ascii="Times New Roman" w:hAnsi="Times New Roman" w:eastAsia="仿宋" w:cs="仿宋"/>
                <w:b/>
                <w:bCs/>
                <w:color w:val="auto"/>
                <w:sz w:val="24"/>
                <w:szCs w:val="24"/>
              </w:rPr>
              <w:t>数量</w:t>
            </w:r>
          </w:p>
        </w:tc>
        <w:tc>
          <w:tcPr>
            <w:tcW w:w="495" w:type="dxa"/>
            <w:shd w:val="clear" w:color="auto" w:fill="auto"/>
            <w:vAlign w:val="center"/>
          </w:tcPr>
          <w:p w14:paraId="5BEC6047">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lang w:eastAsia="zh-CN"/>
              </w:rPr>
            </w:pPr>
            <w:r>
              <w:rPr>
                <w:rFonts w:hint="eastAsia" w:ascii="Times New Roman" w:hAnsi="Times New Roman" w:eastAsia="仿宋" w:cs="仿宋"/>
                <w:b/>
                <w:bCs/>
                <w:color w:val="auto"/>
                <w:sz w:val="24"/>
                <w:szCs w:val="24"/>
                <w:lang w:eastAsia="zh-CN"/>
              </w:rPr>
              <w:t>单位</w:t>
            </w:r>
          </w:p>
        </w:tc>
        <w:tc>
          <w:tcPr>
            <w:tcW w:w="6068" w:type="dxa"/>
            <w:shd w:val="clear" w:color="auto" w:fill="auto"/>
            <w:vAlign w:val="center"/>
          </w:tcPr>
          <w:p w14:paraId="243F0DE0">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FF0000"/>
                <w:sz w:val="24"/>
                <w:szCs w:val="24"/>
              </w:rPr>
            </w:pPr>
            <w:r>
              <w:rPr>
                <w:rFonts w:hint="eastAsia" w:ascii="Times New Roman" w:hAnsi="Times New Roman" w:eastAsia="仿宋" w:cs="仿宋"/>
                <w:b/>
                <w:bCs/>
                <w:color w:val="auto"/>
                <w:sz w:val="24"/>
                <w:szCs w:val="24"/>
              </w:rPr>
              <w:t>技术需求</w:t>
            </w:r>
          </w:p>
        </w:tc>
        <w:tc>
          <w:tcPr>
            <w:tcW w:w="1200" w:type="dxa"/>
            <w:shd w:val="clear" w:color="auto" w:fill="auto"/>
            <w:vAlign w:val="center"/>
          </w:tcPr>
          <w:p w14:paraId="5F4537A0">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Times New Roman" w:hAnsi="Times New Roman" w:eastAsia="仿宋" w:cs="仿宋"/>
                <w:b/>
                <w:bCs/>
                <w:color w:val="auto"/>
                <w:sz w:val="24"/>
                <w:szCs w:val="24"/>
              </w:rPr>
            </w:pPr>
            <w:r>
              <w:rPr>
                <w:rFonts w:hint="eastAsia" w:ascii="Times New Roman" w:hAnsi="Times New Roman" w:eastAsia="仿宋" w:cs="仿宋"/>
                <w:b/>
                <w:bCs/>
                <w:color w:val="auto"/>
                <w:sz w:val="24"/>
                <w:szCs w:val="24"/>
              </w:rPr>
              <w:t>预算金额（元）</w:t>
            </w:r>
          </w:p>
        </w:tc>
      </w:tr>
      <w:tr w14:paraId="0FA6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59227B29">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1710" w:type="dxa"/>
            <w:shd w:val="clear" w:color="auto" w:fill="auto"/>
            <w:vAlign w:val="center"/>
          </w:tcPr>
          <w:p w14:paraId="0A0B9B21">
            <w:pPr>
              <w:spacing w:before="60" w:beforeLines="0" w:after="60" w:afterLine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▲甲型肝炎病毒IgM抗体质控品</w:t>
            </w:r>
          </w:p>
        </w:tc>
        <w:tc>
          <w:tcPr>
            <w:tcW w:w="480" w:type="dxa"/>
            <w:shd w:val="clear" w:color="auto" w:fill="auto"/>
            <w:vAlign w:val="center"/>
          </w:tcPr>
          <w:p w14:paraId="7011ACC4">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60</w:t>
            </w:r>
          </w:p>
        </w:tc>
        <w:tc>
          <w:tcPr>
            <w:tcW w:w="495" w:type="dxa"/>
            <w:shd w:val="clear" w:color="auto" w:fill="auto"/>
            <w:vAlign w:val="center"/>
          </w:tcPr>
          <w:p w14:paraId="0C249E3B">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支</w:t>
            </w:r>
          </w:p>
        </w:tc>
        <w:tc>
          <w:tcPr>
            <w:tcW w:w="6068" w:type="dxa"/>
            <w:shd w:val="clear" w:color="auto" w:fill="auto"/>
            <w:vAlign w:val="center"/>
          </w:tcPr>
          <w:p w14:paraId="04DB8C66">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1.规格要求：每支0.5mL，液体</w:t>
            </w:r>
          </w:p>
          <w:p w14:paraId="1DE860CB">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2.储存条件及有效期：-15℃以下可稳定保存不低于2年。</w:t>
            </w:r>
          </w:p>
          <w:p w14:paraId="4111D006">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3.可提供浓度：可提供浓度≥2NCU/mL；≥4NCU/mL</w:t>
            </w:r>
          </w:p>
          <w:p w14:paraId="118A4411">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4.定值方法：采用不少于3家国内外厂商试剂进行检测，具有良好的稳定性和均一性。</w:t>
            </w:r>
          </w:p>
          <w:p w14:paraId="5449ECE4">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5.溯源信息：量值可溯源至WHO标准物质或卫生部临检中心国家一级标准物质。</w:t>
            </w:r>
          </w:p>
          <w:p w14:paraId="471FBE41">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6.即用性要求：要求可直接使用，无需稀释，安全快捷。</w:t>
            </w:r>
          </w:p>
        </w:tc>
        <w:tc>
          <w:tcPr>
            <w:tcW w:w="1200" w:type="dxa"/>
            <w:shd w:val="clear" w:color="auto" w:fill="auto"/>
            <w:vAlign w:val="center"/>
          </w:tcPr>
          <w:p w14:paraId="6DDF2621">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1500</w:t>
            </w:r>
          </w:p>
        </w:tc>
      </w:tr>
      <w:tr w14:paraId="19FE1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60D2CDB4">
            <w:pPr>
              <w:spacing w:before="60" w:beforeLines="0" w:after="60" w:afterLines="0"/>
              <w:jc w:val="center"/>
              <w:rPr>
                <w:rFonts w:hint="eastAsia" w:ascii="仿宋" w:hAnsi="仿宋" w:eastAsia="仿宋" w:cs="仿宋"/>
                <w:color w:val="auto"/>
                <w:sz w:val="24"/>
                <w:szCs w:val="24"/>
              </w:rPr>
            </w:pPr>
            <w:bookmarkStart w:id="0" w:name="OLE_LINK16"/>
            <w:bookmarkStart w:id="1" w:name="OLE_LINK19"/>
            <w:bookmarkStart w:id="2" w:name="_Toc537"/>
            <w:r>
              <w:rPr>
                <w:rFonts w:hint="eastAsia" w:ascii="仿宋" w:hAnsi="仿宋" w:eastAsia="仿宋" w:cs="仿宋"/>
                <w:color w:val="auto"/>
                <w:sz w:val="24"/>
                <w:szCs w:val="24"/>
              </w:rPr>
              <w:t>2</w:t>
            </w:r>
          </w:p>
        </w:tc>
        <w:tc>
          <w:tcPr>
            <w:tcW w:w="1710" w:type="dxa"/>
            <w:shd w:val="clear" w:color="auto" w:fill="auto"/>
            <w:vAlign w:val="center"/>
          </w:tcPr>
          <w:p w14:paraId="36D1EFD5">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β2-微球蛋白质控品</w:t>
            </w:r>
          </w:p>
        </w:tc>
        <w:tc>
          <w:tcPr>
            <w:tcW w:w="480" w:type="dxa"/>
            <w:shd w:val="clear" w:color="auto" w:fill="auto"/>
            <w:vAlign w:val="center"/>
          </w:tcPr>
          <w:p w14:paraId="15AC6140">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48B00D74">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07082C26">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default" w:ascii="Times New Roman" w:hAnsi="Times New Roman" w:eastAsia="仿宋" w:cs="仿宋"/>
                <w:color w:val="auto"/>
                <w:sz w:val="24"/>
                <w:szCs w:val="24"/>
                <w:lang w:val="en-US" w:eastAsia="zh-CN"/>
              </w:rPr>
              <w:t>1.与β2-微球蛋白测定试剂盒配套使用，用于项目检测的室内质量控制。</w:t>
            </w:r>
          </w:p>
        </w:tc>
        <w:tc>
          <w:tcPr>
            <w:tcW w:w="1200" w:type="dxa"/>
            <w:shd w:val="clear" w:color="auto" w:fill="auto"/>
            <w:vAlign w:val="center"/>
          </w:tcPr>
          <w:p w14:paraId="2A126EF4">
            <w:pPr>
              <w:spacing w:before="60" w:beforeLines="0" w:after="60" w:afterLines="0"/>
              <w:jc w:val="center"/>
              <w:rPr>
                <w:rFonts w:hint="eastAsia" w:ascii="仿宋" w:hAnsi="仿宋" w:eastAsia="仿宋" w:cs="仿宋"/>
                <w:color w:val="FF0000"/>
                <w:sz w:val="24"/>
                <w:szCs w:val="24"/>
                <w:lang w:val="en-US" w:eastAsia="zh-CN"/>
              </w:rPr>
            </w:pPr>
            <w:r>
              <w:rPr>
                <w:rFonts w:hint="eastAsia" w:ascii="仿宋" w:hAnsi="仿宋" w:eastAsia="仿宋" w:cs="仿宋"/>
                <w:color w:val="000000"/>
                <w:sz w:val="24"/>
                <w:szCs w:val="24"/>
              </w:rPr>
              <w:t>380</w:t>
            </w:r>
          </w:p>
        </w:tc>
      </w:tr>
      <w:tr w14:paraId="3EB3E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7B8A68BB">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3</w:t>
            </w:r>
          </w:p>
        </w:tc>
        <w:tc>
          <w:tcPr>
            <w:tcW w:w="1710" w:type="dxa"/>
            <w:shd w:val="clear" w:color="auto" w:fill="auto"/>
            <w:vAlign w:val="center"/>
          </w:tcPr>
          <w:p w14:paraId="1C09A0D1">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β2-微球蛋白校准品</w:t>
            </w:r>
          </w:p>
        </w:tc>
        <w:tc>
          <w:tcPr>
            <w:tcW w:w="480" w:type="dxa"/>
            <w:shd w:val="clear" w:color="auto" w:fill="auto"/>
            <w:vAlign w:val="center"/>
          </w:tcPr>
          <w:p w14:paraId="6B0B5453">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19F37D0B">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02149271">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与β2-微球蛋白测定试剂盒配套使用，用于项目测定时的系统校准。</w:t>
            </w:r>
          </w:p>
        </w:tc>
        <w:tc>
          <w:tcPr>
            <w:tcW w:w="1200" w:type="dxa"/>
            <w:shd w:val="clear" w:color="auto" w:fill="auto"/>
            <w:vAlign w:val="center"/>
          </w:tcPr>
          <w:p w14:paraId="363BC993">
            <w:pPr>
              <w:spacing w:before="60" w:beforeLines="0" w:after="60" w:afterLines="0"/>
              <w:jc w:val="center"/>
              <w:rPr>
                <w:rFonts w:hint="eastAsia" w:ascii="仿宋" w:hAnsi="仿宋" w:eastAsia="仿宋" w:cs="仿宋"/>
                <w:color w:val="FF0000"/>
                <w:sz w:val="24"/>
                <w:szCs w:val="24"/>
                <w:lang w:val="en-US" w:eastAsia="zh-CN"/>
              </w:rPr>
            </w:pPr>
            <w:r>
              <w:rPr>
                <w:rFonts w:hint="eastAsia" w:ascii="仿宋" w:hAnsi="仿宋" w:eastAsia="仿宋" w:cs="仿宋"/>
                <w:color w:val="000000"/>
                <w:sz w:val="24"/>
                <w:szCs w:val="24"/>
              </w:rPr>
              <w:t>308</w:t>
            </w:r>
          </w:p>
        </w:tc>
      </w:tr>
      <w:tr w14:paraId="3A81F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3732FEE4">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4</w:t>
            </w:r>
          </w:p>
        </w:tc>
        <w:tc>
          <w:tcPr>
            <w:tcW w:w="1710" w:type="dxa"/>
            <w:shd w:val="clear" w:color="auto" w:fill="auto"/>
            <w:vAlign w:val="center"/>
          </w:tcPr>
          <w:p w14:paraId="3A23A2BD">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胱抑素C质控品</w:t>
            </w:r>
          </w:p>
        </w:tc>
        <w:tc>
          <w:tcPr>
            <w:tcW w:w="480" w:type="dxa"/>
            <w:shd w:val="clear" w:color="auto" w:fill="auto"/>
            <w:vAlign w:val="center"/>
          </w:tcPr>
          <w:p w14:paraId="418F7D68">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360202D8">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19F3E615">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与胱抑素C检测试剂盒配套使用，用于项目检测的室内质量控制。</w:t>
            </w:r>
          </w:p>
        </w:tc>
        <w:tc>
          <w:tcPr>
            <w:tcW w:w="1200" w:type="dxa"/>
            <w:shd w:val="clear" w:color="auto" w:fill="auto"/>
            <w:vAlign w:val="center"/>
          </w:tcPr>
          <w:p w14:paraId="345EDC16">
            <w:pPr>
              <w:spacing w:before="60" w:beforeLines="0" w:after="60" w:afterLines="0"/>
              <w:jc w:val="center"/>
              <w:rPr>
                <w:rFonts w:hint="eastAsia" w:ascii="仿宋" w:hAnsi="仿宋" w:eastAsia="仿宋" w:cs="仿宋"/>
                <w:color w:val="FF0000"/>
                <w:sz w:val="24"/>
                <w:szCs w:val="24"/>
                <w:lang w:val="en-US" w:eastAsia="zh-CN"/>
              </w:rPr>
            </w:pPr>
            <w:r>
              <w:rPr>
                <w:rFonts w:hint="eastAsia" w:ascii="仿宋" w:hAnsi="仿宋" w:eastAsia="仿宋" w:cs="仿宋"/>
                <w:color w:val="000000"/>
                <w:sz w:val="24"/>
                <w:szCs w:val="24"/>
              </w:rPr>
              <w:t>264</w:t>
            </w:r>
          </w:p>
        </w:tc>
      </w:tr>
      <w:tr w14:paraId="711FD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78A610C6">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5</w:t>
            </w:r>
          </w:p>
        </w:tc>
        <w:tc>
          <w:tcPr>
            <w:tcW w:w="1710" w:type="dxa"/>
            <w:shd w:val="clear" w:color="auto" w:fill="auto"/>
            <w:vAlign w:val="center"/>
          </w:tcPr>
          <w:p w14:paraId="01EB3E36">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胱抑素C校准品</w:t>
            </w:r>
          </w:p>
        </w:tc>
        <w:tc>
          <w:tcPr>
            <w:tcW w:w="480" w:type="dxa"/>
            <w:shd w:val="clear" w:color="auto" w:fill="auto"/>
            <w:vAlign w:val="center"/>
          </w:tcPr>
          <w:p w14:paraId="0E88F5CC">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5AFAE586">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0F1A22B0">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与胱抑素C检测试剂盒配套使用，用于项目测定时的系统校准。</w:t>
            </w:r>
          </w:p>
        </w:tc>
        <w:tc>
          <w:tcPr>
            <w:tcW w:w="1200" w:type="dxa"/>
            <w:shd w:val="clear" w:color="auto" w:fill="auto"/>
            <w:vAlign w:val="center"/>
          </w:tcPr>
          <w:p w14:paraId="37852E9A">
            <w:pPr>
              <w:spacing w:before="60" w:beforeLines="0" w:after="60" w:afterLines="0"/>
              <w:jc w:val="center"/>
              <w:rPr>
                <w:rFonts w:hint="eastAsia" w:ascii="仿宋" w:hAnsi="仿宋" w:eastAsia="仿宋" w:cs="仿宋"/>
                <w:color w:val="FF0000"/>
                <w:sz w:val="24"/>
                <w:szCs w:val="24"/>
                <w:lang w:val="en-US" w:eastAsia="zh-CN"/>
              </w:rPr>
            </w:pPr>
            <w:r>
              <w:rPr>
                <w:rFonts w:hint="eastAsia" w:ascii="仿宋" w:hAnsi="仿宋" w:eastAsia="仿宋" w:cs="仿宋"/>
                <w:color w:val="000000"/>
                <w:sz w:val="24"/>
                <w:szCs w:val="24"/>
              </w:rPr>
              <w:t>296</w:t>
            </w:r>
          </w:p>
        </w:tc>
      </w:tr>
      <w:tr w14:paraId="1F71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7D8F9DAA">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6</w:t>
            </w:r>
          </w:p>
        </w:tc>
        <w:tc>
          <w:tcPr>
            <w:tcW w:w="1710" w:type="dxa"/>
            <w:shd w:val="clear" w:color="auto" w:fill="auto"/>
            <w:vAlign w:val="center"/>
          </w:tcPr>
          <w:p w14:paraId="4BB2C045">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天门冬氨酸氨基转移酶线粒体同工酶质控品</w:t>
            </w:r>
          </w:p>
        </w:tc>
        <w:tc>
          <w:tcPr>
            <w:tcW w:w="480" w:type="dxa"/>
            <w:shd w:val="clear" w:color="auto" w:fill="auto"/>
            <w:vAlign w:val="center"/>
          </w:tcPr>
          <w:p w14:paraId="600B8C93">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5B6E76F5">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69CF584E">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与天门冬氨酸氨基转移酶线粒体同工酶检测试剂盒配套使用，用于项目检测的室内质量控制。</w:t>
            </w:r>
          </w:p>
        </w:tc>
        <w:tc>
          <w:tcPr>
            <w:tcW w:w="1200" w:type="dxa"/>
            <w:shd w:val="clear" w:color="auto" w:fill="auto"/>
            <w:vAlign w:val="center"/>
          </w:tcPr>
          <w:p w14:paraId="79ACD91D">
            <w:pPr>
              <w:spacing w:before="60" w:beforeLines="0" w:after="60" w:afterLines="0"/>
              <w:jc w:val="center"/>
              <w:rPr>
                <w:rFonts w:hint="eastAsia" w:ascii="仿宋" w:hAnsi="仿宋" w:eastAsia="仿宋" w:cs="仿宋"/>
                <w:color w:val="FF0000"/>
                <w:sz w:val="24"/>
                <w:szCs w:val="24"/>
                <w:lang w:val="en-US" w:eastAsia="zh-CN"/>
              </w:rPr>
            </w:pPr>
            <w:r>
              <w:rPr>
                <w:rFonts w:hint="eastAsia" w:ascii="仿宋" w:hAnsi="仿宋" w:eastAsia="仿宋" w:cs="仿宋"/>
                <w:color w:val="000000"/>
                <w:sz w:val="24"/>
                <w:szCs w:val="24"/>
              </w:rPr>
              <w:t>468</w:t>
            </w:r>
          </w:p>
        </w:tc>
      </w:tr>
      <w:tr w14:paraId="6079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1BD13457">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7</w:t>
            </w:r>
          </w:p>
        </w:tc>
        <w:tc>
          <w:tcPr>
            <w:tcW w:w="1710" w:type="dxa"/>
            <w:shd w:val="clear" w:color="auto" w:fill="auto"/>
            <w:vAlign w:val="center"/>
          </w:tcPr>
          <w:p w14:paraId="3DE433A2">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天门冬氨酸氨基转移酶线粒体同工酶校准品</w:t>
            </w:r>
          </w:p>
        </w:tc>
        <w:tc>
          <w:tcPr>
            <w:tcW w:w="480" w:type="dxa"/>
            <w:shd w:val="clear" w:color="auto" w:fill="auto"/>
            <w:vAlign w:val="center"/>
          </w:tcPr>
          <w:p w14:paraId="14669095">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1BC60ED1">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258DF381">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与天门冬氨酸氨基转移酶线粒体同工酶检测试剂盒配套使用，用于项目测定时的系统校准。</w:t>
            </w:r>
          </w:p>
        </w:tc>
        <w:tc>
          <w:tcPr>
            <w:tcW w:w="1200" w:type="dxa"/>
            <w:shd w:val="clear" w:color="auto" w:fill="auto"/>
            <w:vAlign w:val="center"/>
          </w:tcPr>
          <w:p w14:paraId="305B942B">
            <w:pPr>
              <w:spacing w:before="60" w:beforeLines="0" w:after="60" w:afterLines="0"/>
              <w:jc w:val="center"/>
              <w:rPr>
                <w:rFonts w:hint="eastAsia" w:ascii="仿宋" w:hAnsi="仿宋" w:eastAsia="仿宋" w:cs="仿宋"/>
                <w:color w:val="FF0000"/>
                <w:sz w:val="24"/>
                <w:szCs w:val="24"/>
                <w:lang w:val="en-US" w:eastAsia="zh-CN"/>
              </w:rPr>
            </w:pPr>
            <w:r>
              <w:rPr>
                <w:rFonts w:hint="eastAsia" w:ascii="仿宋" w:hAnsi="仿宋" w:eastAsia="仿宋" w:cs="仿宋"/>
                <w:color w:val="000000"/>
                <w:sz w:val="24"/>
                <w:szCs w:val="24"/>
              </w:rPr>
              <w:t>232</w:t>
            </w:r>
          </w:p>
        </w:tc>
      </w:tr>
      <w:tr w14:paraId="3DE2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03A0740A">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8</w:t>
            </w:r>
          </w:p>
        </w:tc>
        <w:tc>
          <w:tcPr>
            <w:tcW w:w="1710" w:type="dxa"/>
            <w:shd w:val="clear" w:color="auto" w:fill="auto"/>
            <w:vAlign w:val="center"/>
          </w:tcPr>
          <w:p w14:paraId="028BA4A8">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腺苷脱氨酶质控品</w:t>
            </w:r>
          </w:p>
        </w:tc>
        <w:tc>
          <w:tcPr>
            <w:tcW w:w="480" w:type="dxa"/>
            <w:shd w:val="clear" w:color="auto" w:fill="auto"/>
            <w:vAlign w:val="center"/>
          </w:tcPr>
          <w:p w14:paraId="35D18C37">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38655614">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3EFE5B66">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与腺苷脱氨酶检测试剂盒配套使用，用于项目检测的室内质量控制。</w:t>
            </w:r>
          </w:p>
        </w:tc>
        <w:tc>
          <w:tcPr>
            <w:tcW w:w="1200" w:type="dxa"/>
            <w:shd w:val="clear" w:color="auto" w:fill="auto"/>
            <w:vAlign w:val="center"/>
          </w:tcPr>
          <w:p w14:paraId="3736746D">
            <w:pPr>
              <w:spacing w:before="60" w:beforeLines="0" w:after="60" w:afterLines="0"/>
              <w:jc w:val="center"/>
              <w:rPr>
                <w:rFonts w:hint="eastAsia" w:ascii="仿宋" w:hAnsi="仿宋" w:eastAsia="仿宋" w:cs="仿宋"/>
                <w:color w:val="FF0000"/>
                <w:sz w:val="24"/>
                <w:szCs w:val="24"/>
                <w:lang w:val="en-US" w:eastAsia="zh-CN"/>
              </w:rPr>
            </w:pPr>
            <w:r>
              <w:rPr>
                <w:rFonts w:hint="eastAsia" w:ascii="仿宋" w:hAnsi="仿宋" w:eastAsia="仿宋" w:cs="仿宋"/>
                <w:color w:val="000000"/>
                <w:sz w:val="24"/>
                <w:szCs w:val="24"/>
              </w:rPr>
              <w:t>232</w:t>
            </w:r>
          </w:p>
        </w:tc>
      </w:tr>
      <w:tr w14:paraId="7388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022F8012">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9</w:t>
            </w:r>
          </w:p>
        </w:tc>
        <w:tc>
          <w:tcPr>
            <w:tcW w:w="1710" w:type="dxa"/>
            <w:shd w:val="clear" w:color="auto" w:fill="auto"/>
            <w:vAlign w:val="center"/>
          </w:tcPr>
          <w:p w14:paraId="2EC9C4A1">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腺苷脱氨酶校准品</w:t>
            </w:r>
          </w:p>
        </w:tc>
        <w:tc>
          <w:tcPr>
            <w:tcW w:w="480" w:type="dxa"/>
            <w:shd w:val="clear" w:color="auto" w:fill="auto"/>
            <w:vAlign w:val="center"/>
          </w:tcPr>
          <w:p w14:paraId="15BE006F">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14129142">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4DC19157">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与腺苷脱氨酶检测试剂盒配套使用，用于项目测定时的系统校准。</w:t>
            </w:r>
          </w:p>
        </w:tc>
        <w:tc>
          <w:tcPr>
            <w:tcW w:w="1200" w:type="dxa"/>
            <w:shd w:val="clear" w:color="auto" w:fill="auto"/>
            <w:vAlign w:val="center"/>
          </w:tcPr>
          <w:p w14:paraId="2072DBB8">
            <w:pPr>
              <w:spacing w:before="60" w:beforeLines="0" w:after="60" w:afterLines="0"/>
              <w:jc w:val="center"/>
              <w:rPr>
                <w:rFonts w:hint="eastAsia" w:ascii="仿宋" w:hAnsi="仿宋" w:eastAsia="仿宋" w:cs="仿宋"/>
                <w:color w:val="FF0000"/>
                <w:sz w:val="24"/>
                <w:szCs w:val="24"/>
                <w:lang w:val="en-US" w:eastAsia="zh-CN"/>
              </w:rPr>
            </w:pPr>
            <w:r>
              <w:rPr>
                <w:rFonts w:hint="eastAsia" w:ascii="仿宋" w:hAnsi="仿宋" w:eastAsia="仿宋" w:cs="仿宋"/>
                <w:color w:val="000000"/>
                <w:sz w:val="24"/>
                <w:szCs w:val="24"/>
              </w:rPr>
              <w:t>248</w:t>
            </w:r>
          </w:p>
        </w:tc>
      </w:tr>
      <w:tr w14:paraId="08C9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487409C4">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10</w:t>
            </w:r>
          </w:p>
        </w:tc>
        <w:tc>
          <w:tcPr>
            <w:tcW w:w="1710" w:type="dxa"/>
            <w:shd w:val="clear" w:color="auto" w:fill="auto"/>
            <w:vAlign w:val="center"/>
          </w:tcPr>
          <w:p w14:paraId="51A2C130">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脂蛋白(a)质控品</w:t>
            </w:r>
          </w:p>
        </w:tc>
        <w:tc>
          <w:tcPr>
            <w:tcW w:w="480" w:type="dxa"/>
            <w:shd w:val="clear" w:color="auto" w:fill="auto"/>
            <w:vAlign w:val="center"/>
          </w:tcPr>
          <w:p w14:paraId="3151EC6A">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748E00AC">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74D64A1C">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与脂蛋白(a)检测试剂盒配套使用，用于项目检测的室内质量控制。</w:t>
            </w:r>
          </w:p>
        </w:tc>
        <w:tc>
          <w:tcPr>
            <w:tcW w:w="1200" w:type="dxa"/>
            <w:shd w:val="clear" w:color="auto" w:fill="auto"/>
            <w:vAlign w:val="center"/>
          </w:tcPr>
          <w:p w14:paraId="1290EB66">
            <w:pPr>
              <w:spacing w:before="60" w:beforeLines="0" w:after="60" w:afterLines="0"/>
              <w:jc w:val="center"/>
              <w:rPr>
                <w:rFonts w:hint="default" w:ascii="仿宋" w:hAnsi="仿宋" w:eastAsia="仿宋" w:cs="仿宋"/>
                <w:color w:val="FF0000"/>
                <w:sz w:val="24"/>
                <w:szCs w:val="24"/>
                <w:lang w:val="en-US" w:eastAsia="zh-CN"/>
              </w:rPr>
            </w:pPr>
            <w:r>
              <w:rPr>
                <w:rFonts w:hint="eastAsia" w:ascii="仿宋" w:hAnsi="仿宋" w:eastAsia="仿宋" w:cs="仿宋"/>
                <w:color w:val="000000"/>
                <w:sz w:val="24"/>
                <w:szCs w:val="24"/>
                <w:lang w:val="en-US" w:eastAsia="zh-CN"/>
              </w:rPr>
              <w:t>440</w:t>
            </w:r>
          </w:p>
        </w:tc>
      </w:tr>
      <w:tr w14:paraId="7FECC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503" w:type="dxa"/>
            <w:shd w:val="clear" w:color="auto" w:fill="auto"/>
            <w:vAlign w:val="center"/>
          </w:tcPr>
          <w:p w14:paraId="43C38074">
            <w:pPr>
              <w:spacing w:before="60" w:beforeLines="0" w:after="60" w:afterLines="0"/>
              <w:jc w:val="center"/>
              <w:rPr>
                <w:rFonts w:hint="eastAsia" w:ascii="仿宋" w:hAnsi="仿宋" w:eastAsia="仿宋" w:cs="仿宋"/>
                <w:color w:val="auto"/>
                <w:sz w:val="24"/>
                <w:szCs w:val="24"/>
              </w:rPr>
            </w:pPr>
            <w:r>
              <w:rPr>
                <w:rFonts w:hint="eastAsia" w:ascii="仿宋" w:hAnsi="仿宋" w:eastAsia="仿宋" w:cs="仿宋"/>
                <w:color w:val="auto"/>
                <w:sz w:val="24"/>
                <w:szCs w:val="24"/>
              </w:rPr>
              <w:t>11</w:t>
            </w:r>
          </w:p>
        </w:tc>
        <w:tc>
          <w:tcPr>
            <w:tcW w:w="1710" w:type="dxa"/>
            <w:shd w:val="clear" w:color="auto" w:fill="auto"/>
            <w:vAlign w:val="center"/>
          </w:tcPr>
          <w:p w14:paraId="67166854">
            <w:pPr>
              <w:numPr>
                <w:ilvl w:val="0"/>
                <w:numId w:val="0"/>
              </w:numPr>
              <w:adjustRightInd w:val="0"/>
              <w:snapToGrid w:val="0"/>
              <w:spacing w:before="60" w:beforeLines="0" w:after="60" w:afterLines="0"/>
              <w:ind w:left="0" w:leftChars="0" w:firstLine="0" w:firstLineChars="0"/>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rPr>
              <w:t>脂蛋白(a)校准品</w:t>
            </w:r>
          </w:p>
        </w:tc>
        <w:tc>
          <w:tcPr>
            <w:tcW w:w="480" w:type="dxa"/>
            <w:shd w:val="clear" w:color="auto" w:fill="auto"/>
            <w:vAlign w:val="center"/>
          </w:tcPr>
          <w:p w14:paraId="28E25F1A">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2</w:t>
            </w:r>
          </w:p>
        </w:tc>
        <w:tc>
          <w:tcPr>
            <w:tcW w:w="495" w:type="dxa"/>
            <w:shd w:val="clear" w:color="auto" w:fill="auto"/>
            <w:vAlign w:val="center"/>
          </w:tcPr>
          <w:p w14:paraId="1B5102A7">
            <w:pPr>
              <w:spacing w:before="60" w:beforeLines="0" w:after="60" w:afterLines="0"/>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盒</w:t>
            </w:r>
          </w:p>
        </w:tc>
        <w:tc>
          <w:tcPr>
            <w:tcW w:w="6068" w:type="dxa"/>
            <w:shd w:val="clear" w:color="auto" w:fill="auto"/>
            <w:vAlign w:val="center"/>
          </w:tcPr>
          <w:p w14:paraId="19BCC2EB">
            <w:pPr>
              <w:pStyle w:val="4"/>
              <w:keepNext w:val="0"/>
              <w:keepLines w:val="0"/>
              <w:pageBreakBefore w:val="0"/>
              <w:widowControl w:val="0"/>
              <w:kinsoku/>
              <w:wordWrap/>
              <w:overflowPunct/>
              <w:topLinePunct w:val="0"/>
              <w:autoSpaceDE/>
              <w:autoSpaceDN/>
              <w:bidi w:val="0"/>
              <w:adjustRightInd/>
              <w:snapToGrid/>
              <w:spacing w:before="0" w:after="0" w:line="312" w:lineRule="auto"/>
              <w:textAlignment w:val="auto"/>
              <w:rPr>
                <w:rFonts w:hint="eastAsia" w:ascii="Times New Roman" w:hAnsi="Times New Roman" w:eastAsia="仿宋" w:cs="仿宋"/>
                <w:color w:val="auto"/>
                <w:sz w:val="24"/>
                <w:szCs w:val="24"/>
                <w:lang w:val="en-US" w:eastAsia="zh-CN"/>
              </w:rPr>
            </w:pPr>
            <w:r>
              <w:rPr>
                <w:rFonts w:hint="eastAsia" w:ascii="Times New Roman" w:hAnsi="Times New Roman" w:eastAsia="仿宋" w:cs="仿宋"/>
                <w:color w:val="auto"/>
                <w:sz w:val="24"/>
                <w:szCs w:val="24"/>
                <w:lang w:val="en-US" w:eastAsia="zh-CN"/>
              </w:rPr>
              <w:t>1.</w:t>
            </w:r>
            <w:r>
              <w:rPr>
                <w:rFonts w:hint="default" w:ascii="Times New Roman" w:hAnsi="Times New Roman" w:eastAsia="仿宋" w:cs="仿宋"/>
                <w:color w:val="auto"/>
                <w:sz w:val="24"/>
                <w:szCs w:val="24"/>
                <w:lang w:val="en-US" w:eastAsia="zh-CN"/>
              </w:rPr>
              <w:t>与脂蛋白(a)检测试剂盒配套使用，用于项目测定时的系统校准。</w:t>
            </w:r>
          </w:p>
        </w:tc>
        <w:tc>
          <w:tcPr>
            <w:tcW w:w="1200" w:type="dxa"/>
            <w:shd w:val="clear" w:color="auto" w:fill="auto"/>
            <w:vAlign w:val="center"/>
          </w:tcPr>
          <w:p w14:paraId="424BCD34">
            <w:pPr>
              <w:spacing w:before="60" w:beforeLines="0" w:after="60" w:afterLines="0"/>
              <w:jc w:val="center"/>
              <w:rPr>
                <w:rFonts w:hint="eastAsia" w:ascii="仿宋" w:hAnsi="仿宋" w:eastAsia="仿宋" w:cs="仿宋"/>
                <w:color w:val="FF0000"/>
                <w:sz w:val="24"/>
                <w:szCs w:val="24"/>
                <w:lang w:val="en-US" w:eastAsia="zh-CN"/>
              </w:rPr>
            </w:pPr>
            <w:r>
              <w:rPr>
                <w:rFonts w:hint="eastAsia" w:ascii="仿宋" w:hAnsi="仿宋" w:eastAsia="仿宋" w:cs="仿宋"/>
                <w:color w:val="000000"/>
                <w:sz w:val="24"/>
                <w:szCs w:val="24"/>
                <w:lang w:val="en-US" w:eastAsia="zh-CN"/>
              </w:rPr>
              <w:t>22</w:t>
            </w:r>
            <w:r>
              <w:rPr>
                <w:rFonts w:hint="eastAsia" w:ascii="仿宋" w:hAnsi="仿宋" w:eastAsia="仿宋" w:cs="仿宋"/>
                <w:color w:val="000000"/>
                <w:sz w:val="24"/>
                <w:szCs w:val="24"/>
              </w:rPr>
              <w:t>0</w:t>
            </w:r>
          </w:p>
        </w:tc>
      </w:tr>
    </w:tbl>
    <w:p w14:paraId="289F1857">
      <w:pPr>
        <w:snapToGrid w:val="0"/>
        <w:spacing w:after="0" w:line="360" w:lineRule="auto"/>
        <w:contextualSpacing/>
        <w:rPr>
          <w:rFonts w:ascii="Times New Roman" w:hAnsi="Times New Roman" w:cs="宋体"/>
          <w:color w:val="auto"/>
          <w:kern w:val="0"/>
          <w:szCs w:val="21"/>
        </w:rPr>
      </w:pPr>
      <w:r>
        <w:rPr>
          <w:rFonts w:hint="eastAsia" w:ascii="Times New Roman" w:hAnsi="Times New Roman" w:cs="宋体"/>
          <w:color w:val="auto"/>
          <w:kern w:val="0"/>
          <w:szCs w:val="21"/>
        </w:rPr>
        <w:t>注：</w:t>
      </w:r>
      <w:r>
        <w:rPr>
          <w:rFonts w:hint="eastAsia" w:ascii="Times New Roman" w:hAnsi="Times New Roman" w:cs="宋体"/>
          <w:color w:val="auto"/>
          <w:szCs w:val="21"/>
        </w:rPr>
        <w:t>投标人所报价格为完成本项目全部服务要求的最终优惠价格。</w:t>
      </w:r>
      <w:bookmarkEnd w:id="0"/>
      <w:bookmarkEnd w:id="1"/>
      <w:r>
        <w:rPr>
          <w:rFonts w:hint="eastAsia" w:ascii="Times New Roman" w:hAnsi="Times New Roman" w:cs="宋体"/>
          <w:color w:val="auto"/>
          <w:kern w:val="0"/>
          <w:szCs w:val="21"/>
        </w:rPr>
        <w:t>本项目设置最高投标限价。如投标人所报价格（包括</w:t>
      </w:r>
      <w:r>
        <w:rPr>
          <w:rFonts w:ascii="Times New Roman" w:hAnsi="Times New Roman" w:cs="宋体"/>
          <w:color w:val="auto"/>
          <w:kern w:val="0"/>
          <w:szCs w:val="21"/>
        </w:rPr>
        <w:t>分项价格</w:t>
      </w:r>
      <w:r>
        <w:rPr>
          <w:rFonts w:hint="eastAsia" w:ascii="Times New Roman" w:hAnsi="Times New Roman" w:cs="宋体"/>
          <w:color w:val="auto"/>
          <w:kern w:val="0"/>
          <w:szCs w:val="21"/>
        </w:rPr>
        <w:t>）高于最高投标限价的，其投标将被否决。</w:t>
      </w:r>
    </w:p>
    <w:bookmarkEnd w:id="2"/>
    <w:p w14:paraId="3E32F393">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投标人实质性资格要求</w:t>
      </w:r>
    </w:p>
    <w:p w14:paraId="141BB9CE">
      <w:pPr>
        <w:keepNext w:val="0"/>
        <w:keepLines w:val="0"/>
        <w:pageBreakBefore w:val="0"/>
        <w:widowControl w:val="0"/>
        <w:kinsoku/>
        <w:wordWrap/>
        <w:overflowPunct/>
        <w:topLinePunct w:val="0"/>
        <w:autoSpaceDE w:val="0"/>
        <w:autoSpaceDN w:val="0"/>
        <w:bidi w:val="0"/>
        <w:adjustRightInd w:val="0"/>
        <w:snapToGrid/>
        <w:spacing w:after="120" w:line="360" w:lineRule="auto"/>
        <w:ind w:firstLine="480" w:firstLineChars="200"/>
        <w:textAlignment w:val="auto"/>
        <w:rPr>
          <w:rFonts w:ascii="Times New Roman" w:hAnsi="Times New Roman" w:eastAsia="宋体" w:cs="Times New Roman"/>
          <w:color w:val="auto"/>
          <w:kern w:val="0"/>
          <w:sz w:val="24"/>
          <w:szCs w:val="24"/>
          <w:lang w:val="en-US" w:eastAsia="zh-CN" w:bidi="ar-SA"/>
        </w:rPr>
      </w:pPr>
      <w:bookmarkStart w:id="3" w:name="_Toc11335"/>
      <w:bookmarkStart w:id="4" w:name="_Toc26998"/>
      <w:r>
        <w:rPr>
          <w:rFonts w:hint="eastAsia" w:ascii="Times New Roman" w:hAnsi="Times New Roman" w:eastAsia="宋体" w:cs="Times New Roman"/>
          <w:color w:val="auto"/>
          <w:kern w:val="0"/>
          <w:sz w:val="24"/>
          <w:szCs w:val="24"/>
          <w:lang w:val="en-US" w:eastAsia="zh-CN" w:bidi="ar-SA"/>
        </w:rPr>
        <w:t>参照《中华人民共和国政府采购法》第二十二条第一款规定的条件，投标人须具备提供以下材料：</w:t>
      </w:r>
    </w:p>
    <w:p w14:paraId="42D12DBA">
      <w:pPr>
        <w:widowControl w:val="0"/>
        <w:autoSpaceDE w:val="0"/>
        <w:autoSpaceDN w:val="0"/>
        <w:adjustRightInd w:val="0"/>
        <w:spacing w:after="120" w:line="360" w:lineRule="auto"/>
        <w:ind w:firstLine="480" w:firstLineChars="200"/>
        <w:rPr>
          <w:rFonts w:hint="default"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0"/>
          <w:sz w:val="24"/>
          <w:szCs w:val="24"/>
          <w:lang w:val="en-US" w:eastAsia="zh-CN" w:bidi="ar-SA"/>
        </w:rPr>
        <w:t xml:space="preserve">1. </w:t>
      </w:r>
      <w:r>
        <w:rPr>
          <w:rFonts w:hint="eastAsia" w:ascii="Times New Roman" w:hAnsi="Times New Roman" w:eastAsia="宋体" w:cs="Times New Roman"/>
          <w:color w:val="auto"/>
          <w:kern w:val="0"/>
          <w:sz w:val="24"/>
          <w:szCs w:val="24"/>
          <w:lang w:val="en-US" w:eastAsia="zh-CN" w:bidi="ar-SA"/>
        </w:rPr>
        <w:t>营业执照副本或事业单位法人证书或民办非企业单位登记证书或社会团体法人登记证书或基金会法人登记证书扫描件或自然人的身份证明扫描件。</w:t>
      </w:r>
    </w:p>
    <w:p w14:paraId="2B3DDF25">
      <w:pPr>
        <w:widowControl w:val="0"/>
        <w:autoSpaceDE w:val="0"/>
        <w:autoSpaceDN w:val="0"/>
        <w:adjustRightInd w:val="0"/>
        <w:spacing w:after="120" w:line="360" w:lineRule="auto"/>
        <w:ind w:firstLine="480" w:firstLineChars="200"/>
        <w:rPr>
          <w:rFonts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0"/>
          <w:sz w:val="24"/>
          <w:szCs w:val="24"/>
          <w:lang w:val="en-US" w:eastAsia="zh-CN" w:bidi="ar-SA"/>
        </w:rPr>
        <w:t xml:space="preserve">2. </w:t>
      </w:r>
      <w:r>
        <w:rPr>
          <w:rFonts w:hint="eastAsia" w:ascii="Times New Roman" w:hAnsi="Times New Roman" w:eastAsia="宋体" w:cs="Times New Roman"/>
          <w:color w:val="auto"/>
          <w:kern w:val="0"/>
          <w:sz w:val="24"/>
          <w:szCs w:val="24"/>
          <w:lang w:val="en-US" w:eastAsia="zh-CN" w:bidi="ar-SA"/>
        </w:rPr>
        <w:t>具有良好的商业信誉和健全的财务会计制度的书面声明。</w:t>
      </w:r>
    </w:p>
    <w:p w14:paraId="7679161B">
      <w:pPr>
        <w:widowControl w:val="0"/>
        <w:autoSpaceDE w:val="0"/>
        <w:autoSpaceDN w:val="0"/>
        <w:adjustRightInd w:val="0"/>
        <w:spacing w:after="120" w:line="360" w:lineRule="auto"/>
        <w:ind w:firstLine="480" w:firstLineChars="200"/>
        <w:rPr>
          <w:rFonts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0"/>
          <w:sz w:val="24"/>
          <w:szCs w:val="24"/>
          <w:lang w:val="en-US" w:eastAsia="zh-CN" w:bidi="ar-SA"/>
        </w:rPr>
        <w:t xml:space="preserve">3. </w:t>
      </w:r>
      <w:r>
        <w:rPr>
          <w:rFonts w:hint="eastAsia" w:ascii="Times New Roman" w:hAnsi="Times New Roman" w:eastAsia="宋体" w:cs="Times New Roman"/>
          <w:color w:val="auto"/>
          <w:kern w:val="0"/>
          <w:sz w:val="24"/>
          <w:szCs w:val="24"/>
          <w:lang w:val="en-US" w:eastAsia="zh-CN" w:bidi="ar-SA"/>
        </w:rPr>
        <w:t>依法缴纳税收和社会保障资金的书面声明。</w:t>
      </w:r>
    </w:p>
    <w:p w14:paraId="59188E5B">
      <w:pPr>
        <w:widowControl w:val="0"/>
        <w:autoSpaceDE w:val="0"/>
        <w:autoSpaceDN w:val="0"/>
        <w:adjustRightInd w:val="0"/>
        <w:spacing w:after="120" w:line="360" w:lineRule="auto"/>
        <w:ind w:firstLine="480" w:firstLineChars="200"/>
        <w:rPr>
          <w:rFonts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0"/>
          <w:sz w:val="24"/>
          <w:szCs w:val="24"/>
          <w:lang w:val="en-US" w:eastAsia="zh-CN" w:bidi="ar-SA"/>
        </w:rPr>
        <w:t xml:space="preserve">4. </w:t>
      </w:r>
      <w:r>
        <w:rPr>
          <w:rFonts w:hint="eastAsia" w:ascii="Times New Roman" w:hAnsi="Times New Roman" w:eastAsia="宋体" w:cs="Times New Roman"/>
          <w:color w:val="auto"/>
          <w:kern w:val="0"/>
          <w:sz w:val="24"/>
          <w:szCs w:val="24"/>
          <w:lang w:val="en-US" w:eastAsia="zh-CN" w:bidi="ar-SA"/>
        </w:rPr>
        <w:t>投标截止日前</w:t>
      </w:r>
      <w:r>
        <w:rPr>
          <w:rFonts w:ascii="Times New Roman" w:hAnsi="Times New Roman" w:eastAsia="宋体" w:cs="Times New Roman"/>
          <w:color w:val="auto"/>
          <w:kern w:val="0"/>
          <w:sz w:val="24"/>
          <w:szCs w:val="24"/>
          <w:lang w:val="en-US" w:eastAsia="zh-CN" w:bidi="ar-SA"/>
        </w:rPr>
        <w:t>3</w:t>
      </w:r>
      <w:r>
        <w:rPr>
          <w:rFonts w:hint="eastAsia" w:ascii="Times New Roman" w:hAnsi="Times New Roman" w:eastAsia="宋体" w:cs="Times New Roman"/>
          <w:color w:val="auto"/>
          <w:kern w:val="0"/>
          <w:sz w:val="24"/>
          <w:szCs w:val="24"/>
          <w:lang w:val="en-US" w:eastAsia="zh-CN" w:bidi="ar-SA"/>
        </w:rPr>
        <w:t>年在经营活动中没有重大违法记录的书面声明（截至开标日成立不足</w:t>
      </w:r>
      <w:r>
        <w:rPr>
          <w:rFonts w:ascii="Times New Roman" w:hAnsi="Times New Roman" w:eastAsia="宋体" w:cs="Times New Roman"/>
          <w:color w:val="auto"/>
          <w:kern w:val="0"/>
          <w:sz w:val="24"/>
          <w:szCs w:val="24"/>
          <w:lang w:val="en-US" w:eastAsia="zh-CN" w:bidi="ar-SA"/>
        </w:rPr>
        <w:t>3</w:t>
      </w:r>
      <w:r>
        <w:rPr>
          <w:rFonts w:hint="eastAsia" w:ascii="Times New Roman" w:hAnsi="Times New Roman" w:eastAsia="宋体" w:cs="Times New Roman"/>
          <w:color w:val="auto"/>
          <w:kern w:val="0"/>
          <w:sz w:val="24"/>
          <w:szCs w:val="24"/>
          <w:lang w:val="en-US" w:eastAsia="zh-CN" w:bidi="ar-SA"/>
        </w:rPr>
        <w:t>年的供应商可提供自成立以来无重大违法记录的书面声明）。</w:t>
      </w:r>
    </w:p>
    <w:p w14:paraId="4F4DA682">
      <w:pPr>
        <w:widowControl w:val="0"/>
        <w:autoSpaceDE w:val="0"/>
        <w:autoSpaceDN w:val="0"/>
        <w:adjustRightInd w:val="0"/>
        <w:spacing w:after="120" w:line="360" w:lineRule="auto"/>
        <w:ind w:firstLine="480" w:firstLineChars="200"/>
        <w:rPr>
          <w:rFonts w:hint="eastAsia" w:ascii="Times New Roman" w:hAnsi="Times New Roman" w:eastAsia="宋体" w:cs="Times New Roman"/>
          <w:color w:val="auto"/>
          <w:kern w:val="0"/>
          <w:sz w:val="24"/>
          <w:szCs w:val="24"/>
          <w:lang w:val="en-US" w:eastAsia="zh-CN" w:bidi="ar-SA"/>
        </w:rPr>
      </w:pPr>
      <w:r>
        <w:rPr>
          <w:rFonts w:ascii="Times New Roman" w:hAnsi="Times New Roman" w:eastAsia="宋体" w:cs="Times New Roman"/>
          <w:color w:val="auto"/>
          <w:kern w:val="0"/>
          <w:sz w:val="24"/>
          <w:szCs w:val="24"/>
          <w:lang w:val="en-US" w:eastAsia="zh-CN" w:bidi="ar-SA"/>
        </w:rPr>
        <w:t xml:space="preserve">5. </w:t>
      </w:r>
      <w:r>
        <w:rPr>
          <w:rFonts w:hint="eastAsia" w:ascii="Times New Roman" w:hAnsi="Times New Roman" w:eastAsia="宋体" w:cs="Times New Roman"/>
          <w:color w:val="auto"/>
          <w:kern w:val="0"/>
          <w:sz w:val="24"/>
          <w:szCs w:val="24"/>
          <w:lang w:val="en-US" w:eastAsia="zh-CN" w:bidi="ar-SA"/>
        </w:rPr>
        <w:t>提交具备履行合同所必需的设备和专业技术能力证明材料。</w:t>
      </w:r>
    </w:p>
    <w:p w14:paraId="5C9BD420">
      <w:pPr>
        <w:widowControl w:val="0"/>
        <w:autoSpaceDE w:val="0"/>
        <w:autoSpaceDN w:val="0"/>
        <w:adjustRightInd w:val="0"/>
        <w:spacing w:after="120" w:line="360" w:lineRule="auto"/>
        <w:ind w:firstLine="480" w:firstLineChars="200"/>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*以上内容均需加盖公章</w:t>
      </w:r>
    </w:p>
    <w:p w14:paraId="2E4C0A46">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lang w:eastAsia="zh-CN"/>
          <w14:textFill>
            <w14:solidFill>
              <w14:schemeClr w14:val="tx1"/>
            </w14:solidFill>
          </w14:textFill>
        </w:rPr>
        <w:t>服务要求</w:t>
      </w:r>
    </w:p>
    <w:tbl>
      <w:tblPr>
        <w:tblStyle w:val="7"/>
        <w:tblW w:w="4997"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756"/>
        <w:gridCol w:w="1292"/>
        <w:gridCol w:w="6895"/>
      </w:tblGrid>
      <w:tr w14:paraId="2C39EA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7" w:hRule="atLeast"/>
          <w:jc w:val="center"/>
        </w:trPr>
        <w:tc>
          <w:tcPr>
            <w:tcW w:w="423" w:type="pct"/>
            <w:vAlign w:val="center"/>
          </w:tcPr>
          <w:p w14:paraId="5DA40393">
            <w:pPr>
              <w:widowControl/>
              <w:spacing w:after="0"/>
              <w:jc w:val="center"/>
              <w:rPr>
                <w:rFonts w:hint="eastAsia" w:ascii="Times New Roman" w:hAnsi="Times New Roman" w:eastAsia="宋体" w:cs="宋体"/>
                <w:b/>
                <w:bCs/>
                <w:color w:val="auto"/>
                <w:kern w:val="0"/>
                <w:sz w:val="24"/>
                <w:szCs w:val="24"/>
              </w:rPr>
            </w:pPr>
            <w:r>
              <w:rPr>
                <w:rFonts w:hint="eastAsia" w:ascii="Times New Roman" w:hAnsi="Times New Roman" w:eastAsia="宋体" w:cs="宋体"/>
                <w:b/>
                <w:bCs/>
                <w:color w:val="auto"/>
                <w:kern w:val="0"/>
                <w:sz w:val="24"/>
                <w:szCs w:val="24"/>
              </w:rPr>
              <w:t>序号</w:t>
            </w:r>
          </w:p>
        </w:tc>
        <w:tc>
          <w:tcPr>
            <w:tcW w:w="722" w:type="pct"/>
            <w:vAlign w:val="center"/>
          </w:tcPr>
          <w:p w14:paraId="721F944F">
            <w:pPr>
              <w:widowControl/>
              <w:spacing w:after="0"/>
              <w:jc w:val="center"/>
              <w:rPr>
                <w:rFonts w:hint="eastAsia" w:ascii="Times New Roman" w:hAnsi="Times New Roman" w:eastAsia="宋体" w:cs="宋体"/>
                <w:b/>
                <w:bCs/>
                <w:color w:val="auto"/>
                <w:kern w:val="0"/>
                <w:sz w:val="24"/>
                <w:szCs w:val="24"/>
              </w:rPr>
            </w:pPr>
            <w:r>
              <w:rPr>
                <w:rFonts w:hint="eastAsia" w:ascii="Times New Roman" w:hAnsi="Times New Roman" w:eastAsia="宋体" w:cs="宋体"/>
                <w:b/>
                <w:bCs/>
                <w:color w:val="auto"/>
                <w:kern w:val="0"/>
                <w:sz w:val="24"/>
                <w:szCs w:val="24"/>
              </w:rPr>
              <w:t>需求条款</w:t>
            </w:r>
          </w:p>
        </w:tc>
        <w:tc>
          <w:tcPr>
            <w:tcW w:w="3853" w:type="pct"/>
            <w:vAlign w:val="center"/>
          </w:tcPr>
          <w:p w14:paraId="7C8BDAC1">
            <w:pPr>
              <w:widowControl/>
              <w:spacing w:after="0"/>
              <w:jc w:val="center"/>
              <w:rPr>
                <w:rFonts w:hint="eastAsia" w:ascii="Times New Roman" w:hAnsi="Times New Roman" w:eastAsia="宋体" w:cs="宋体"/>
                <w:b/>
                <w:bCs/>
                <w:color w:val="auto"/>
                <w:kern w:val="0"/>
                <w:sz w:val="24"/>
                <w:szCs w:val="24"/>
              </w:rPr>
            </w:pPr>
            <w:r>
              <w:rPr>
                <w:rFonts w:hint="eastAsia" w:ascii="Times New Roman" w:hAnsi="Times New Roman" w:eastAsia="宋体" w:cs="宋体"/>
                <w:b/>
                <w:bCs/>
                <w:color w:val="auto"/>
                <w:kern w:val="0"/>
                <w:sz w:val="24"/>
                <w:szCs w:val="24"/>
              </w:rPr>
              <w:t>具体要求</w:t>
            </w:r>
          </w:p>
        </w:tc>
      </w:tr>
      <w:tr w14:paraId="431A6A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23" w:type="pct"/>
            <w:vAlign w:val="center"/>
          </w:tcPr>
          <w:p w14:paraId="303F627D">
            <w:pPr>
              <w:widowControl/>
              <w:spacing w:after="0"/>
              <w:jc w:val="center"/>
              <w:rPr>
                <w:rFonts w:hint="eastAsia" w:ascii="Times New Roman" w:hAnsi="Times New Roman" w:eastAsia="宋体" w:cs="宋体"/>
                <w:color w:val="auto"/>
                <w:kern w:val="0"/>
                <w:sz w:val="22"/>
                <w:szCs w:val="22"/>
                <w:lang w:val="en-US" w:eastAsia="zh-CN"/>
              </w:rPr>
            </w:pPr>
            <w:r>
              <w:rPr>
                <w:rFonts w:hint="eastAsia" w:ascii="Times New Roman" w:hAnsi="Times New Roman" w:cs="宋体"/>
                <w:color w:val="auto"/>
                <w:kern w:val="0"/>
                <w:sz w:val="22"/>
                <w:szCs w:val="22"/>
                <w:lang w:val="en-US" w:eastAsia="zh-CN"/>
              </w:rPr>
              <w:t>1</w:t>
            </w:r>
          </w:p>
        </w:tc>
        <w:tc>
          <w:tcPr>
            <w:tcW w:w="722" w:type="pct"/>
            <w:vAlign w:val="center"/>
          </w:tcPr>
          <w:p w14:paraId="371AA14B">
            <w:pPr>
              <w:widowControl/>
              <w:spacing w:after="0"/>
              <w:jc w:val="center"/>
              <w:rPr>
                <w:rFonts w:hint="eastAsia" w:ascii="Times New Roman" w:hAnsi="Times New Roman" w:eastAsia="宋体" w:cs="宋体"/>
                <w:color w:val="auto"/>
                <w:kern w:val="0"/>
                <w:sz w:val="22"/>
                <w:szCs w:val="22"/>
              </w:rPr>
            </w:pPr>
            <w:r>
              <w:rPr>
                <w:rFonts w:hint="eastAsia" w:ascii="Times New Roman" w:hAnsi="Times New Roman" w:eastAsia="宋体" w:cs="宋体"/>
                <w:color w:val="auto"/>
                <w:sz w:val="22"/>
                <w:szCs w:val="22"/>
              </w:rPr>
              <w:t>服务要求</w:t>
            </w:r>
          </w:p>
        </w:tc>
        <w:tc>
          <w:tcPr>
            <w:tcW w:w="3853" w:type="pct"/>
            <w:vAlign w:val="center"/>
          </w:tcPr>
          <w:p w14:paraId="40100157">
            <w:pPr>
              <w:widowControl/>
              <w:spacing w:after="0"/>
              <w:jc w:val="both"/>
              <w:rPr>
                <w:rFonts w:hint="eastAsia" w:ascii="Times New Roman" w:hAnsi="Times New Roman" w:eastAsia="宋体" w:cs="宋体"/>
                <w:color w:val="auto"/>
                <w:kern w:val="0"/>
                <w:sz w:val="22"/>
                <w:szCs w:val="22"/>
              </w:rPr>
            </w:pPr>
            <w:r>
              <w:rPr>
                <w:rFonts w:hint="eastAsia" w:ascii="Times New Roman" w:hAnsi="Times New Roman" w:eastAsia="宋体" w:cs="宋体"/>
                <w:color w:val="auto"/>
                <w:kern w:val="0"/>
                <w:sz w:val="22"/>
                <w:szCs w:val="22"/>
              </w:rPr>
              <w:t>所投产品出现质量问题（含破损）时，投标人应及时与需方进行沟通，按照需方的要求进行相应的处理。</w:t>
            </w:r>
          </w:p>
        </w:tc>
      </w:tr>
      <w:tr w14:paraId="2A6D26D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23" w:type="pct"/>
            <w:vAlign w:val="center"/>
          </w:tcPr>
          <w:p w14:paraId="5FA86A24">
            <w:pPr>
              <w:widowControl/>
              <w:spacing w:after="0"/>
              <w:jc w:val="center"/>
              <w:rPr>
                <w:rFonts w:hint="eastAsia" w:ascii="Times New Roman" w:hAnsi="Times New Roman" w:eastAsia="宋体" w:cs="宋体"/>
                <w:color w:val="auto"/>
                <w:kern w:val="0"/>
                <w:sz w:val="22"/>
                <w:szCs w:val="22"/>
                <w:lang w:val="en-US" w:eastAsia="zh-CN"/>
              </w:rPr>
            </w:pPr>
            <w:r>
              <w:rPr>
                <w:rFonts w:hint="eastAsia" w:ascii="Times New Roman" w:hAnsi="Times New Roman" w:cs="宋体"/>
                <w:color w:val="auto"/>
                <w:kern w:val="0"/>
                <w:sz w:val="22"/>
                <w:szCs w:val="22"/>
                <w:lang w:val="en-US" w:eastAsia="zh-CN"/>
              </w:rPr>
              <w:t>2</w:t>
            </w:r>
          </w:p>
        </w:tc>
        <w:tc>
          <w:tcPr>
            <w:tcW w:w="722" w:type="pct"/>
            <w:vAlign w:val="center"/>
          </w:tcPr>
          <w:p w14:paraId="5A9D5141">
            <w:pPr>
              <w:spacing w:after="0"/>
              <w:jc w:val="center"/>
              <w:rPr>
                <w:rFonts w:hint="eastAsia" w:ascii="Times New Roman" w:hAnsi="Times New Roman" w:eastAsia="宋体" w:cs="宋体"/>
                <w:color w:val="auto"/>
                <w:kern w:val="0"/>
                <w:sz w:val="22"/>
                <w:szCs w:val="22"/>
              </w:rPr>
            </w:pPr>
            <w:r>
              <w:rPr>
                <w:rFonts w:hint="eastAsia" w:ascii="Times New Roman" w:hAnsi="Times New Roman" w:eastAsia="宋体" w:cs="宋体"/>
                <w:color w:val="auto"/>
                <w:sz w:val="22"/>
                <w:szCs w:val="22"/>
              </w:rPr>
              <w:t>交货期</w:t>
            </w:r>
          </w:p>
        </w:tc>
        <w:tc>
          <w:tcPr>
            <w:tcW w:w="3853" w:type="pct"/>
            <w:vAlign w:val="center"/>
          </w:tcPr>
          <w:p w14:paraId="4A753588">
            <w:pPr>
              <w:spacing w:after="0"/>
              <w:jc w:val="both"/>
              <w:rPr>
                <w:rFonts w:hint="eastAsia" w:ascii="Times New Roman" w:hAnsi="Times New Roman" w:eastAsia="宋体" w:cs="宋体"/>
                <w:color w:val="auto"/>
                <w:kern w:val="0"/>
                <w:sz w:val="22"/>
                <w:szCs w:val="22"/>
              </w:rPr>
            </w:pPr>
            <w:r>
              <w:rPr>
                <w:rFonts w:hint="eastAsia" w:ascii="Times New Roman" w:hAnsi="Times New Roman" w:eastAsia="宋体" w:cs="宋体"/>
                <w:color w:val="auto"/>
                <w:sz w:val="22"/>
                <w:szCs w:val="22"/>
              </w:rPr>
              <w:t>合同签订后，供方收到需方订单48小时内供方须将所供货物在需方指定地点交付，并完成安装、调试工作，货物运送产生的费用由供方负责。或按照招标人要求送货。（特殊情况以合同为准）</w:t>
            </w:r>
          </w:p>
        </w:tc>
      </w:tr>
      <w:tr w14:paraId="2200CD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jc w:val="center"/>
        </w:trPr>
        <w:tc>
          <w:tcPr>
            <w:tcW w:w="423" w:type="pct"/>
            <w:vAlign w:val="center"/>
          </w:tcPr>
          <w:p w14:paraId="263600BB">
            <w:pPr>
              <w:widowControl/>
              <w:spacing w:after="0"/>
              <w:jc w:val="center"/>
              <w:rPr>
                <w:rFonts w:hint="eastAsia" w:ascii="Times New Roman" w:hAnsi="Times New Roman" w:eastAsia="宋体" w:cs="宋体"/>
                <w:color w:val="auto"/>
                <w:kern w:val="0"/>
                <w:sz w:val="22"/>
                <w:szCs w:val="22"/>
                <w:lang w:val="en-US" w:eastAsia="zh-CN"/>
              </w:rPr>
            </w:pPr>
            <w:r>
              <w:rPr>
                <w:rFonts w:hint="eastAsia" w:ascii="Times New Roman" w:hAnsi="Times New Roman" w:cs="宋体"/>
                <w:color w:val="auto"/>
                <w:kern w:val="0"/>
                <w:sz w:val="22"/>
                <w:szCs w:val="22"/>
                <w:lang w:val="en-US" w:eastAsia="zh-CN"/>
              </w:rPr>
              <w:t>3</w:t>
            </w:r>
          </w:p>
        </w:tc>
        <w:tc>
          <w:tcPr>
            <w:tcW w:w="722" w:type="pct"/>
            <w:vAlign w:val="center"/>
          </w:tcPr>
          <w:p w14:paraId="330BA050">
            <w:pPr>
              <w:spacing w:after="0"/>
              <w:jc w:val="center"/>
              <w:rPr>
                <w:rFonts w:hint="eastAsia" w:ascii="Times New Roman" w:hAnsi="Times New Roman" w:eastAsia="宋体" w:cs="宋体"/>
                <w:color w:val="auto"/>
                <w:sz w:val="22"/>
                <w:szCs w:val="22"/>
              </w:rPr>
            </w:pPr>
            <w:r>
              <w:rPr>
                <w:rFonts w:hint="eastAsia" w:ascii="Times New Roman" w:hAnsi="Times New Roman" w:eastAsia="宋体" w:cs="宋体"/>
                <w:color w:val="auto"/>
                <w:sz w:val="22"/>
                <w:szCs w:val="22"/>
              </w:rPr>
              <w:t>验收要求</w:t>
            </w:r>
          </w:p>
        </w:tc>
        <w:tc>
          <w:tcPr>
            <w:tcW w:w="3853" w:type="pct"/>
            <w:vAlign w:val="center"/>
          </w:tcPr>
          <w:p w14:paraId="7E520677">
            <w:pPr>
              <w:spacing w:after="0"/>
              <w:jc w:val="both"/>
              <w:rPr>
                <w:rFonts w:hint="eastAsia" w:ascii="Times New Roman" w:hAnsi="Times New Roman" w:eastAsia="宋体" w:cs="宋体"/>
                <w:color w:val="auto"/>
                <w:sz w:val="22"/>
                <w:szCs w:val="22"/>
                <w:lang w:eastAsia="zh-CN"/>
              </w:rPr>
            </w:pPr>
            <w:r>
              <w:rPr>
                <w:rFonts w:hint="eastAsia" w:ascii="Times New Roman" w:hAnsi="Times New Roman" w:eastAsia="宋体" w:cs="宋体"/>
                <w:color w:val="auto"/>
                <w:sz w:val="22"/>
                <w:szCs w:val="22"/>
              </w:rPr>
              <w:t>抽验比例标准；逐条参数验收；有权委托第三方检验机构进行检验，特殊情况以合同为准</w:t>
            </w:r>
            <w:r>
              <w:rPr>
                <w:rFonts w:hint="eastAsia" w:cs="宋体"/>
                <w:color w:val="auto"/>
                <w:sz w:val="22"/>
                <w:szCs w:val="22"/>
                <w:lang w:eastAsia="zh-CN"/>
              </w:rPr>
              <w:t>。</w:t>
            </w:r>
          </w:p>
        </w:tc>
      </w:tr>
    </w:tbl>
    <w:p w14:paraId="583406A9">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评标方法及评审因素与标准</w:t>
      </w:r>
      <w:bookmarkEnd w:id="3"/>
      <w:bookmarkEnd w:id="4"/>
    </w:p>
    <w:p w14:paraId="061E004E">
      <w:pPr>
        <w:widowControl w:val="0"/>
        <w:autoSpaceDE w:val="0"/>
        <w:autoSpaceDN w:val="0"/>
        <w:adjustRightInd w:val="0"/>
        <w:spacing w:after="120" w:line="360" w:lineRule="auto"/>
        <w:jc w:val="both"/>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（一）采用“综合评分法”的评标方法。评标采用百分制，各评委独立分别对实质上响应比选文件进行逐项打分，对评标委员会各成员每一因素的打分汇总后取算术平均分，该平均分为投标人的得分。</w:t>
      </w:r>
    </w:p>
    <w:p w14:paraId="1B676D76">
      <w:pPr>
        <w:widowControl w:val="0"/>
        <w:autoSpaceDE w:val="0"/>
        <w:autoSpaceDN w:val="0"/>
        <w:adjustRightInd w:val="0"/>
        <w:spacing w:after="120" w:line="360" w:lineRule="auto"/>
        <w:jc w:val="both"/>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（二）评审因素与标准</w:t>
      </w:r>
    </w:p>
    <w:tbl>
      <w:tblPr>
        <w:tblStyle w:val="7"/>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39"/>
        <w:gridCol w:w="1215"/>
        <w:gridCol w:w="6503"/>
        <w:gridCol w:w="886"/>
      </w:tblGrid>
      <w:tr w14:paraId="24543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504" w:type="pct"/>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79F76690">
            <w:pPr>
              <w:widowControl w:val="0"/>
              <w:spacing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第一部分价格（30分）</w:t>
            </w:r>
          </w:p>
        </w:tc>
        <w:tc>
          <w:tcPr>
            <w:tcW w:w="495"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8515E66">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分值</w:t>
            </w:r>
          </w:p>
        </w:tc>
      </w:tr>
      <w:tr w14:paraId="0C2DA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3" w:hRule="atLeast"/>
          <w:jc w:val="center"/>
        </w:trPr>
        <w:tc>
          <w:tcPr>
            <w:tcW w:w="190" w:type="pct"/>
            <w:tcBorders>
              <w:top w:val="nil"/>
              <w:left w:val="single" w:color="000000" w:sz="8" w:space="0"/>
              <w:bottom w:val="single" w:color="000000" w:sz="8" w:space="0"/>
              <w:right w:val="single" w:color="000000" w:sz="8" w:space="0"/>
            </w:tcBorders>
            <w:shd w:val="clear" w:color="auto" w:fill="auto"/>
            <w:noWrap/>
            <w:vAlign w:val="center"/>
          </w:tcPr>
          <w:p w14:paraId="5A6A766B">
            <w:pPr>
              <w:widowControl w:val="0"/>
              <w:spacing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w:t>
            </w:r>
          </w:p>
        </w:tc>
        <w:tc>
          <w:tcPr>
            <w:tcW w:w="679" w:type="pct"/>
            <w:tcBorders>
              <w:top w:val="nil"/>
              <w:left w:val="single" w:color="000000" w:sz="8" w:space="0"/>
              <w:bottom w:val="single" w:color="000000" w:sz="8" w:space="0"/>
              <w:right w:val="single" w:color="000000" w:sz="8" w:space="0"/>
            </w:tcBorders>
            <w:shd w:val="clear" w:color="auto" w:fill="auto"/>
            <w:vAlign w:val="center"/>
          </w:tcPr>
          <w:p w14:paraId="2C21B711">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价格</w:t>
            </w:r>
          </w:p>
        </w:tc>
        <w:tc>
          <w:tcPr>
            <w:tcW w:w="3634" w:type="pct"/>
            <w:tcBorders>
              <w:top w:val="nil"/>
              <w:left w:val="single" w:color="000000" w:sz="8" w:space="0"/>
              <w:bottom w:val="single" w:color="000000" w:sz="8" w:space="0"/>
              <w:right w:val="single" w:color="000000" w:sz="8" w:space="0"/>
            </w:tcBorders>
            <w:shd w:val="clear" w:color="auto" w:fill="auto"/>
            <w:vAlign w:val="center"/>
          </w:tcPr>
          <w:p w14:paraId="5D361720">
            <w:pPr>
              <w:keepNext w:val="0"/>
              <w:keepLines w:val="0"/>
              <w:pageBreakBefore w:val="0"/>
              <w:widowControl w:val="0"/>
              <w:kinsoku/>
              <w:wordWrap/>
              <w:overflowPunct/>
              <w:topLinePunct w:val="0"/>
              <w:autoSpaceDE/>
              <w:autoSpaceDN/>
              <w:bidi w:val="0"/>
              <w:adjustRightInd/>
              <w:snapToGrid/>
              <w:spacing w:after="0"/>
              <w:jc w:val="both"/>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（1）投标报价超过采购预算的，投标无效，未超过采购预算的投标报价按以下公式进行计算</w:t>
            </w:r>
          </w:p>
          <w:p w14:paraId="5CF70CA8">
            <w:pPr>
              <w:keepNext w:val="0"/>
              <w:keepLines w:val="0"/>
              <w:pageBreakBefore w:val="0"/>
              <w:widowControl w:val="0"/>
              <w:kinsoku/>
              <w:wordWrap/>
              <w:overflowPunct/>
              <w:topLinePunct w:val="0"/>
              <w:autoSpaceDE/>
              <w:autoSpaceDN/>
              <w:bidi w:val="0"/>
              <w:adjustRightInd/>
              <w:snapToGrid/>
              <w:spacing w:after="0"/>
              <w:jc w:val="both"/>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（2）投标报价得分=（评标基准价/投标报价）×30</w:t>
            </w:r>
          </w:p>
          <w:p w14:paraId="768D7189">
            <w:pPr>
              <w:keepNext w:val="0"/>
              <w:keepLines w:val="0"/>
              <w:pageBreakBefore w:val="0"/>
              <w:widowControl w:val="0"/>
              <w:kinsoku/>
              <w:wordWrap/>
              <w:overflowPunct/>
              <w:topLinePunct w:val="0"/>
              <w:autoSpaceDE/>
              <w:autoSpaceDN/>
              <w:bidi w:val="0"/>
              <w:adjustRightInd/>
              <w:snapToGrid/>
              <w:spacing w:after="0"/>
              <w:jc w:val="both"/>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注：满足院内比选文件要求且投标报价最低的投标报价为评标基准价</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60F5A2FD">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30</w:t>
            </w:r>
          </w:p>
        </w:tc>
      </w:tr>
      <w:tr w14:paraId="0C1A0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jc w:val="center"/>
        </w:trPr>
        <w:tc>
          <w:tcPr>
            <w:tcW w:w="4504" w:type="pct"/>
            <w:gridSpan w:val="3"/>
            <w:tcBorders>
              <w:top w:val="nil"/>
              <w:left w:val="single" w:color="000000" w:sz="8" w:space="0"/>
              <w:bottom w:val="single" w:color="000000" w:sz="8" w:space="0"/>
              <w:right w:val="single" w:color="000000" w:sz="8" w:space="0"/>
            </w:tcBorders>
            <w:shd w:val="clear" w:color="auto" w:fill="auto"/>
            <w:noWrap/>
            <w:vAlign w:val="center"/>
          </w:tcPr>
          <w:p w14:paraId="08A35DF8">
            <w:pPr>
              <w:widowControl w:val="0"/>
              <w:spacing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第二部分客观分（70分）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29994A2E">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分值</w:t>
            </w:r>
          </w:p>
        </w:tc>
      </w:tr>
      <w:tr w14:paraId="7202A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5" w:hRule="atLeast"/>
          <w:jc w:val="center"/>
        </w:trPr>
        <w:tc>
          <w:tcPr>
            <w:tcW w:w="190" w:type="pct"/>
            <w:tcBorders>
              <w:top w:val="nil"/>
              <w:left w:val="single" w:color="000000" w:sz="8" w:space="0"/>
              <w:bottom w:val="single" w:color="000000" w:sz="8" w:space="0"/>
              <w:right w:val="single" w:color="000000" w:sz="8" w:space="0"/>
            </w:tcBorders>
            <w:shd w:val="clear" w:color="auto" w:fill="auto"/>
            <w:noWrap/>
            <w:vAlign w:val="center"/>
          </w:tcPr>
          <w:p w14:paraId="512507D2">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w:t>
            </w:r>
          </w:p>
        </w:tc>
        <w:tc>
          <w:tcPr>
            <w:tcW w:w="679" w:type="pct"/>
            <w:tcBorders>
              <w:top w:val="nil"/>
              <w:left w:val="single" w:color="000000" w:sz="8" w:space="0"/>
              <w:bottom w:val="single" w:color="000000" w:sz="8" w:space="0"/>
              <w:right w:val="single" w:color="000000" w:sz="8" w:space="0"/>
            </w:tcBorders>
            <w:shd w:val="clear" w:color="auto" w:fill="auto"/>
            <w:vAlign w:val="center"/>
          </w:tcPr>
          <w:p w14:paraId="54B976FA">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检测报告</w:t>
            </w:r>
          </w:p>
        </w:tc>
        <w:tc>
          <w:tcPr>
            <w:tcW w:w="3634" w:type="pct"/>
            <w:tcBorders>
              <w:top w:val="nil"/>
              <w:left w:val="single" w:color="000000" w:sz="8" w:space="0"/>
              <w:bottom w:val="single" w:color="000000" w:sz="8" w:space="0"/>
              <w:right w:val="single" w:color="000000" w:sz="8" w:space="0"/>
            </w:tcBorders>
            <w:shd w:val="clear" w:color="auto" w:fill="auto"/>
            <w:vAlign w:val="center"/>
          </w:tcPr>
          <w:p w14:paraId="5B5222A3">
            <w:pPr>
              <w:widowControl w:val="0"/>
              <w:spacing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具备所投产品检测报告扫描件加盖公章，提供合格的检测报告扫描件得</w:t>
            </w:r>
            <w:r>
              <w:rPr>
                <w:rFonts w:hint="eastAsia" w:cs="Times New Roman"/>
                <w:color w:val="auto"/>
                <w:kern w:val="2"/>
                <w:sz w:val="21"/>
                <w:szCs w:val="24"/>
                <w:lang w:val="en-US" w:eastAsia="zh-CN" w:bidi="ar-SA"/>
              </w:rPr>
              <w:t>4</w:t>
            </w:r>
            <w:r>
              <w:rPr>
                <w:rFonts w:hint="eastAsia" w:ascii="Times New Roman" w:hAnsi="Times New Roman" w:eastAsia="宋体" w:cs="Times New Roman"/>
                <w:color w:val="auto"/>
                <w:kern w:val="2"/>
                <w:sz w:val="21"/>
                <w:szCs w:val="24"/>
                <w:lang w:val="en-US" w:eastAsia="zh-CN" w:bidi="ar-SA"/>
              </w:rPr>
              <w:t>分，未提供的得0分。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5D2DFE88">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4</w:t>
            </w:r>
          </w:p>
        </w:tc>
      </w:tr>
      <w:tr w14:paraId="2DF02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9" w:hRule="atLeast"/>
          <w:jc w:val="center"/>
        </w:trPr>
        <w:tc>
          <w:tcPr>
            <w:tcW w:w="190" w:type="pct"/>
            <w:tcBorders>
              <w:top w:val="nil"/>
              <w:left w:val="single" w:color="000000" w:sz="8" w:space="0"/>
              <w:bottom w:val="single" w:color="000000" w:sz="8" w:space="0"/>
              <w:right w:val="single" w:color="000000" w:sz="8" w:space="0"/>
            </w:tcBorders>
            <w:shd w:val="clear" w:color="auto" w:fill="auto"/>
            <w:noWrap/>
            <w:vAlign w:val="center"/>
          </w:tcPr>
          <w:p w14:paraId="7F084480">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2</w:t>
            </w:r>
          </w:p>
        </w:tc>
        <w:tc>
          <w:tcPr>
            <w:tcW w:w="679" w:type="pct"/>
            <w:tcBorders>
              <w:top w:val="nil"/>
              <w:left w:val="single" w:color="000000" w:sz="8" w:space="0"/>
              <w:bottom w:val="single" w:color="000000" w:sz="8" w:space="0"/>
              <w:right w:val="single" w:color="000000" w:sz="8" w:space="0"/>
            </w:tcBorders>
            <w:shd w:val="clear" w:color="auto" w:fill="auto"/>
            <w:vAlign w:val="center"/>
          </w:tcPr>
          <w:p w14:paraId="3AC8E836">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服务支撑能力评价</w:t>
            </w:r>
          </w:p>
        </w:tc>
        <w:tc>
          <w:tcPr>
            <w:tcW w:w="3634" w:type="pct"/>
            <w:tcBorders>
              <w:top w:val="nil"/>
              <w:left w:val="single" w:color="000000" w:sz="8" w:space="0"/>
              <w:bottom w:val="single" w:color="000000" w:sz="8" w:space="0"/>
              <w:right w:val="single" w:color="000000" w:sz="8" w:space="0"/>
            </w:tcBorders>
            <w:shd w:val="clear" w:color="auto" w:fill="auto"/>
            <w:vAlign w:val="center"/>
          </w:tcPr>
          <w:p w14:paraId="0E15A099">
            <w:pPr>
              <w:widowControl w:val="0"/>
              <w:spacing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投标人能够提供所投核心产品的制造商的长期销售代理协议或针对本项目销售的授权函的得</w:t>
            </w:r>
            <w:r>
              <w:rPr>
                <w:rFonts w:hint="eastAsia" w:cs="Times New Roman"/>
                <w:color w:val="auto"/>
                <w:kern w:val="2"/>
                <w:sz w:val="21"/>
                <w:szCs w:val="24"/>
                <w:lang w:val="en-US" w:eastAsia="zh-CN" w:bidi="ar-SA"/>
              </w:rPr>
              <w:t>4</w:t>
            </w:r>
            <w:r>
              <w:rPr>
                <w:rFonts w:hint="eastAsia" w:ascii="Times New Roman" w:hAnsi="Times New Roman" w:eastAsia="宋体" w:cs="Times New Roman"/>
                <w:color w:val="auto"/>
                <w:kern w:val="2"/>
                <w:sz w:val="21"/>
                <w:szCs w:val="24"/>
                <w:lang w:val="en-US" w:eastAsia="zh-CN" w:bidi="ar-SA"/>
              </w:rPr>
              <w:t>分，否则得0分。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07C6F223">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4</w:t>
            </w:r>
          </w:p>
        </w:tc>
      </w:tr>
      <w:tr w14:paraId="21624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1" w:hRule="atLeast"/>
          <w:jc w:val="center"/>
        </w:trPr>
        <w:tc>
          <w:tcPr>
            <w:tcW w:w="190" w:type="pct"/>
            <w:tcBorders>
              <w:top w:val="nil"/>
              <w:left w:val="single" w:color="000000" w:sz="8" w:space="0"/>
              <w:bottom w:val="single" w:color="auto" w:sz="4" w:space="0"/>
              <w:right w:val="single" w:color="000000" w:sz="8" w:space="0"/>
            </w:tcBorders>
            <w:shd w:val="clear" w:color="auto" w:fill="auto"/>
            <w:noWrap/>
            <w:vAlign w:val="center"/>
          </w:tcPr>
          <w:p w14:paraId="52335EE0">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3</w:t>
            </w:r>
          </w:p>
        </w:tc>
        <w:tc>
          <w:tcPr>
            <w:tcW w:w="679" w:type="pct"/>
            <w:tcBorders>
              <w:top w:val="nil"/>
              <w:left w:val="single" w:color="000000" w:sz="8" w:space="0"/>
              <w:bottom w:val="single" w:color="000000" w:sz="8" w:space="0"/>
              <w:right w:val="single" w:color="000000" w:sz="8" w:space="0"/>
            </w:tcBorders>
            <w:shd w:val="clear" w:color="auto" w:fill="auto"/>
            <w:vAlign w:val="center"/>
          </w:tcPr>
          <w:p w14:paraId="374F3B76">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业绩</w:t>
            </w:r>
          </w:p>
        </w:tc>
        <w:tc>
          <w:tcPr>
            <w:tcW w:w="3634" w:type="pct"/>
            <w:tcBorders>
              <w:top w:val="nil"/>
              <w:left w:val="single" w:color="000000" w:sz="8" w:space="0"/>
              <w:bottom w:val="single" w:color="000000" w:sz="8" w:space="0"/>
              <w:right w:val="single" w:color="000000" w:sz="8" w:space="0"/>
            </w:tcBorders>
            <w:shd w:val="clear" w:color="auto" w:fill="auto"/>
            <w:vAlign w:val="center"/>
          </w:tcPr>
          <w:p w14:paraId="48388FAB">
            <w:pPr>
              <w:widowControl w:val="0"/>
              <w:spacing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提供所投产品近三年（2023年-今）在国内医院的实际使用业绩（按招标文件要求提供业绩表</w:t>
            </w:r>
            <w:r>
              <w:rPr>
                <w:rFonts w:hint="eastAsia" w:cs="Times New Roman"/>
                <w:color w:val="auto"/>
                <w:kern w:val="2"/>
                <w:sz w:val="21"/>
                <w:szCs w:val="24"/>
                <w:lang w:val="en-US" w:eastAsia="zh-CN" w:bidi="ar-SA"/>
              </w:rPr>
              <w:t>、</w:t>
            </w:r>
            <w:r>
              <w:rPr>
                <w:rFonts w:hint="eastAsia" w:ascii="Times New Roman" w:hAnsi="Times New Roman" w:eastAsia="宋体" w:cs="Times New Roman"/>
                <w:color w:val="auto"/>
                <w:kern w:val="2"/>
                <w:sz w:val="21"/>
                <w:szCs w:val="24"/>
                <w:lang w:val="en-US" w:eastAsia="zh-CN" w:bidi="ar-SA"/>
              </w:rPr>
              <w:t>合同复印件</w:t>
            </w:r>
            <w:r>
              <w:rPr>
                <w:rFonts w:hint="eastAsia" w:cs="Times New Roman"/>
                <w:color w:val="auto"/>
                <w:kern w:val="2"/>
                <w:sz w:val="21"/>
                <w:szCs w:val="24"/>
                <w:lang w:val="en-US" w:eastAsia="zh-CN" w:bidi="ar-SA"/>
              </w:rPr>
              <w:t>或发票等</w:t>
            </w:r>
            <w:r>
              <w:rPr>
                <w:rFonts w:hint="eastAsia" w:ascii="Times New Roman" w:hAnsi="Times New Roman" w:eastAsia="宋体" w:cs="Times New Roman"/>
                <w:color w:val="auto"/>
                <w:kern w:val="2"/>
                <w:sz w:val="21"/>
                <w:szCs w:val="24"/>
                <w:lang w:val="en-US" w:eastAsia="zh-CN" w:bidi="ar-SA"/>
              </w:rPr>
              <w:t>），一个业绩得</w:t>
            </w:r>
            <w:r>
              <w:rPr>
                <w:rFonts w:hint="eastAsia" w:cs="Times New Roman"/>
                <w:color w:val="auto"/>
                <w:kern w:val="2"/>
                <w:sz w:val="21"/>
                <w:szCs w:val="24"/>
                <w:lang w:val="en-US" w:eastAsia="zh-CN" w:bidi="ar-SA"/>
              </w:rPr>
              <w:t>5</w:t>
            </w:r>
            <w:r>
              <w:rPr>
                <w:rFonts w:hint="eastAsia" w:ascii="Times New Roman" w:hAnsi="Times New Roman" w:eastAsia="宋体" w:cs="Times New Roman"/>
                <w:color w:val="auto"/>
                <w:kern w:val="2"/>
                <w:sz w:val="21"/>
                <w:szCs w:val="24"/>
                <w:lang w:val="en-US" w:eastAsia="zh-CN" w:bidi="ar-SA"/>
              </w:rPr>
              <w:t>分，最高</w:t>
            </w:r>
            <w:r>
              <w:rPr>
                <w:rFonts w:hint="eastAsia" w:cs="Times New Roman"/>
                <w:color w:val="auto"/>
                <w:kern w:val="2"/>
                <w:sz w:val="21"/>
                <w:szCs w:val="24"/>
                <w:lang w:val="en-US" w:eastAsia="zh-CN" w:bidi="ar-SA"/>
              </w:rPr>
              <w:t>15</w:t>
            </w:r>
            <w:r>
              <w:rPr>
                <w:rFonts w:hint="eastAsia" w:ascii="Times New Roman" w:hAnsi="Times New Roman" w:eastAsia="宋体" w:cs="Times New Roman"/>
                <w:color w:val="auto"/>
                <w:kern w:val="2"/>
                <w:sz w:val="21"/>
                <w:szCs w:val="24"/>
                <w:lang w:val="en-US" w:eastAsia="zh-CN" w:bidi="ar-SA"/>
              </w:rPr>
              <w:t>分，未提供的得0分。</w:t>
            </w:r>
            <w:bookmarkStart w:id="7" w:name="_GoBack"/>
            <w:bookmarkEnd w:id="7"/>
          </w:p>
        </w:tc>
        <w:tc>
          <w:tcPr>
            <w:tcW w:w="495" w:type="pct"/>
            <w:tcBorders>
              <w:top w:val="nil"/>
              <w:left w:val="single" w:color="000000" w:sz="8" w:space="0"/>
              <w:bottom w:val="single" w:color="000000" w:sz="8" w:space="0"/>
              <w:right w:val="single" w:color="000000" w:sz="8" w:space="0"/>
            </w:tcBorders>
            <w:shd w:val="clear" w:color="auto" w:fill="auto"/>
            <w:vAlign w:val="center"/>
          </w:tcPr>
          <w:p w14:paraId="31E6C51C">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15</w:t>
            </w:r>
          </w:p>
        </w:tc>
      </w:tr>
      <w:tr w14:paraId="0EAFD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jc w:val="center"/>
        </w:trPr>
        <w:tc>
          <w:tcPr>
            <w:tcW w:w="1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70EC88">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4</w:t>
            </w:r>
          </w:p>
        </w:tc>
        <w:tc>
          <w:tcPr>
            <w:tcW w:w="679" w:type="pct"/>
            <w:tcBorders>
              <w:top w:val="nil"/>
              <w:left w:val="single" w:color="auto" w:sz="4" w:space="0"/>
              <w:bottom w:val="single" w:color="000000" w:sz="8" w:space="0"/>
              <w:right w:val="single" w:color="000000" w:sz="8" w:space="0"/>
            </w:tcBorders>
            <w:shd w:val="clear" w:color="auto" w:fill="auto"/>
            <w:vAlign w:val="center"/>
          </w:tcPr>
          <w:p w14:paraId="091E2EB6">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质量技术</w:t>
            </w:r>
          </w:p>
        </w:tc>
        <w:tc>
          <w:tcPr>
            <w:tcW w:w="3634" w:type="pct"/>
            <w:tcBorders>
              <w:top w:val="nil"/>
              <w:left w:val="single" w:color="000000" w:sz="8" w:space="0"/>
              <w:bottom w:val="single" w:color="000000" w:sz="8" w:space="0"/>
              <w:right w:val="single" w:color="000000" w:sz="8" w:space="0"/>
            </w:tcBorders>
            <w:shd w:val="clear" w:color="auto" w:fill="auto"/>
            <w:vAlign w:val="center"/>
          </w:tcPr>
          <w:p w14:paraId="468C5E25">
            <w:pPr>
              <w:keepNext w:val="0"/>
              <w:keepLines w:val="0"/>
              <w:pageBreakBefore w:val="0"/>
              <w:widowControl w:val="0"/>
              <w:kinsoku/>
              <w:wordWrap/>
              <w:overflowPunct/>
              <w:topLinePunct w:val="0"/>
              <w:autoSpaceDE/>
              <w:autoSpaceDN/>
              <w:bidi w:val="0"/>
              <w:adjustRightInd/>
              <w:snapToGrid/>
              <w:spacing w:after="0"/>
              <w:jc w:val="both"/>
              <w:textAlignment w:val="auto"/>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①完全满足无偏离：</w:t>
            </w:r>
            <w:r>
              <w:rPr>
                <w:rFonts w:hint="eastAsia" w:cs="Times New Roman"/>
                <w:color w:val="auto"/>
                <w:kern w:val="2"/>
                <w:sz w:val="21"/>
                <w:szCs w:val="24"/>
                <w:lang w:val="en-US" w:eastAsia="zh-CN" w:bidi="ar-SA"/>
              </w:rPr>
              <w:t>32</w:t>
            </w:r>
            <w:r>
              <w:rPr>
                <w:rFonts w:hint="eastAsia" w:ascii="Times New Roman" w:hAnsi="Times New Roman" w:eastAsia="宋体" w:cs="Times New Roman"/>
                <w:color w:val="auto"/>
                <w:kern w:val="2"/>
                <w:sz w:val="21"/>
                <w:szCs w:val="24"/>
                <w:lang w:val="en-US" w:eastAsia="zh-CN" w:bidi="ar-SA"/>
              </w:rPr>
              <w:t>分；②非“★”技术要求劣于招标文件要求或未做应答的不足</w:t>
            </w:r>
            <w:r>
              <w:rPr>
                <w:rFonts w:hint="eastAsia" w:cs="Times New Roman"/>
                <w:color w:val="auto"/>
                <w:kern w:val="2"/>
                <w:sz w:val="21"/>
                <w:szCs w:val="24"/>
                <w:lang w:val="en-US" w:eastAsia="zh-CN" w:bidi="ar-SA"/>
              </w:rPr>
              <w:t>16</w:t>
            </w:r>
            <w:r>
              <w:rPr>
                <w:rFonts w:hint="eastAsia" w:ascii="Times New Roman" w:hAnsi="Times New Roman" w:eastAsia="宋体" w:cs="Times New Roman"/>
                <w:color w:val="auto"/>
                <w:kern w:val="2"/>
                <w:sz w:val="21"/>
                <w:szCs w:val="24"/>
                <w:lang w:val="en-US" w:eastAsia="zh-CN" w:bidi="ar-SA"/>
              </w:rPr>
              <w:t>条的，每出现1条以上情形减2分；③非“★”技术要求劣于招标文件要求或未做应答≥</w:t>
            </w:r>
            <w:r>
              <w:rPr>
                <w:rFonts w:hint="eastAsia" w:cs="Times New Roman"/>
                <w:color w:val="auto"/>
                <w:kern w:val="2"/>
                <w:sz w:val="21"/>
                <w:szCs w:val="24"/>
                <w:lang w:val="en-US" w:eastAsia="zh-CN" w:bidi="ar-SA"/>
              </w:rPr>
              <w:t>16</w:t>
            </w:r>
            <w:r>
              <w:rPr>
                <w:rFonts w:hint="eastAsia" w:ascii="Times New Roman" w:hAnsi="Times New Roman" w:eastAsia="宋体" w:cs="Times New Roman"/>
                <w:color w:val="auto"/>
                <w:kern w:val="2"/>
                <w:sz w:val="21"/>
                <w:szCs w:val="24"/>
                <w:lang w:val="en-US" w:eastAsia="zh-CN" w:bidi="ar-SA"/>
              </w:rPr>
              <w:t>条的，本项得0分。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6DE22637">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32</w:t>
            </w:r>
          </w:p>
        </w:tc>
      </w:tr>
      <w:tr w14:paraId="78CF0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90" w:type="pct"/>
            <w:tcBorders>
              <w:top w:val="single" w:color="auto" w:sz="4" w:space="0"/>
              <w:left w:val="single" w:color="000000" w:sz="8" w:space="0"/>
              <w:bottom w:val="single" w:color="000000" w:sz="8" w:space="0"/>
              <w:right w:val="single" w:color="000000" w:sz="8" w:space="0"/>
            </w:tcBorders>
            <w:shd w:val="clear" w:color="auto" w:fill="auto"/>
            <w:noWrap/>
            <w:vAlign w:val="center"/>
          </w:tcPr>
          <w:p w14:paraId="348D0220">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5</w:t>
            </w:r>
          </w:p>
        </w:tc>
        <w:tc>
          <w:tcPr>
            <w:tcW w:w="679" w:type="pct"/>
            <w:tcBorders>
              <w:top w:val="nil"/>
              <w:left w:val="single" w:color="000000" w:sz="8" w:space="0"/>
              <w:bottom w:val="single" w:color="000000" w:sz="8" w:space="0"/>
              <w:right w:val="single" w:color="000000" w:sz="8" w:space="0"/>
            </w:tcBorders>
            <w:shd w:val="clear" w:color="auto" w:fill="auto"/>
            <w:vAlign w:val="center"/>
          </w:tcPr>
          <w:p w14:paraId="191C35C6">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售后服务</w:t>
            </w:r>
          </w:p>
        </w:tc>
        <w:tc>
          <w:tcPr>
            <w:tcW w:w="3634" w:type="pct"/>
            <w:tcBorders>
              <w:top w:val="nil"/>
              <w:left w:val="single" w:color="000000" w:sz="8" w:space="0"/>
              <w:bottom w:val="single" w:color="000000" w:sz="8" w:space="0"/>
              <w:right w:val="single" w:color="000000" w:sz="8" w:space="0"/>
            </w:tcBorders>
            <w:shd w:val="clear" w:color="auto" w:fill="auto"/>
            <w:vAlign w:val="center"/>
          </w:tcPr>
          <w:p w14:paraId="429CCD1C">
            <w:pPr>
              <w:widowControl w:val="0"/>
              <w:spacing w:after="12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提供售后服务保障措施方案全面、可行：优秀</w:t>
            </w:r>
            <w:r>
              <w:rPr>
                <w:rFonts w:hint="eastAsia" w:cs="Times New Roman"/>
                <w:color w:val="auto"/>
                <w:kern w:val="2"/>
                <w:sz w:val="21"/>
                <w:szCs w:val="24"/>
                <w:lang w:val="en-US" w:eastAsia="zh-CN" w:bidi="ar-SA"/>
              </w:rPr>
              <w:t>15</w:t>
            </w:r>
            <w:r>
              <w:rPr>
                <w:rFonts w:hint="eastAsia" w:ascii="Times New Roman" w:hAnsi="Times New Roman" w:eastAsia="宋体" w:cs="Times New Roman"/>
                <w:color w:val="auto"/>
                <w:kern w:val="2"/>
                <w:sz w:val="21"/>
                <w:szCs w:val="24"/>
                <w:lang w:val="en-US" w:eastAsia="zh-CN" w:bidi="ar-SA"/>
              </w:rPr>
              <w:t>分；良好10分；一般5分；未提供不得分。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4F2A00B9">
            <w:pPr>
              <w:widowControl w:val="0"/>
              <w:spacing w:after="120"/>
              <w:jc w:val="center"/>
              <w:rPr>
                <w:rFonts w:hint="default"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15</w:t>
            </w:r>
          </w:p>
        </w:tc>
      </w:tr>
      <w:tr w14:paraId="6EC72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jc w:val="center"/>
        </w:trPr>
        <w:tc>
          <w:tcPr>
            <w:tcW w:w="4504" w:type="pct"/>
            <w:gridSpan w:val="3"/>
            <w:tcBorders>
              <w:top w:val="nil"/>
              <w:left w:val="single" w:color="000000" w:sz="8" w:space="0"/>
              <w:bottom w:val="single" w:color="000000" w:sz="8" w:space="0"/>
              <w:right w:val="single" w:color="000000" w:sz="8" w:space="0"/>
            </w:tcBorders>
            <w:shd w:val="clear" w:color="auto" w:fill="auto"/>
            <w:noWrap/>
            <w:vAlign w:val="center"/>
          </w:tcPr>
          <w:p w14:paraId="6C92DE0C">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综合得分</w:t>
            </w:r>
          </w:p>
        </w:tc>
        <w:tc>
          <w:tcPr>
            <w:tcW w:w="495" w:type="pct"/>
            <w:tcBorders>
              <w:top w:val="nil"/>
              <w:left w:val="single" w:color="000000" w:sz="8" w:space="0"/>
              <w:bottom w:val="single" w:color="000000" w:sz="8" w:space="0"/>
              <w:right w:val="single" w:color="000000" w:sz="8" w:space="0"/>
            </w:tcBorders>
            <w:shd w:val="clear" w:color="auto" w:fill="auto"/>
            <w:vAlign w:val="center"/>
          </w:tcPr>
          <w:p w14:paraId="2099FFE9">
            <w:pPr>
              <w:widowControl w:val="0"/>
              <w:spacing w:after="120"/>
              <w:jc w:val="center"/>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100</w:t>
            </w:r>
          </w:p>
        </w:tc>
      </w:tr>
    </w:tbl>
    <w:p w14:paraId="5BA5CA69">
      <w:pPr>
        <w:snapToGrid w:val="0"/>
        <w:spacing w:after="0" w:line="360" w:lineRule="auto"/>
        <w:contextualSpacing/>
        <w:rPr>
          <w:rFonts w:hint="eastAsia" w:ascii="Times New Roman" w:hAnsi="Times New Roman" w:eastAsia="宋体" w:cs="宋体"/>
          <w:color w:val="auto"/>
          <w:kern w:val="0"/>
          <w:szCs w:val="21"/>
        </w:rPr>
      </w:pPr>
      <w:r>
        <w:rPr>
          <w:rFonts w:hint="eastAsia" w:ascii="Times New Roman" w:hAnsi="Times New Roman" w:eastAsia="宋体" w:cs="宋体"/>
          <w:color w:val="auto"/>
          <w:kern w:val="0"/>
          <w:szCs w:val="21"/>
        </w:rPr>
        <w:t>备注：评标委员会各评委对有效响应文件按评审标准独立评审打分，投标人最终得分为各评委个人打分的算术平均值（四舍五入后，小数点后保留两位有效数）</w:t>
      </w:r>
    </w:p>
    <w:p w14:paraId="1CC5B197">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院内比选响应文件内容要求</w:t>
      </w:r>
    </w:p>
    <w:p w14:paraId="3A019A82">
      <w:pPr>
        <w:pageBreakBefore w:val="0"/>
        <w:kinsoku/>
        <w:wordWrap/>
        <w:overflowPunct/>
        <w:topLinePunct w:val="0"/>
        <w:bidi w:val="0"/>
        <w:snapToGrid w:val="0"/>
        <w:spacing w:before="100" w:beforeAutospacing="1" w:after="100" w:afterAutospacing="1" w:line="360" w:lineRule="auto"/>
        <w:ind w:firstLine="480" w:firstLineChars="200"/>
        <w:contextualSpacing/>
        <w:textAlignment w:val="auto"/>
        <w:rPr>
          <w:rFonts w:hint="default" w:ascii="Times New Roman" w:hAnsi="Times New Roman" w:eastAsia="宋体" w:cstheme="minorEastAsia"/>
          <w:color w:val="000000" w:themeColor="text1"/>
          <w:sz w:val="24"/>
          <w:szCs w:val="24"/>
          <w:lang w:val="en-US" w:eastAsia="zh-CN"/>
          <w14:textFill>
            <w14:solidFill>
              <w14:schemeClr w14:val="tx1"/>
            </w14:solidFill>
          </w14:textFill>
        </w:rPr>
      </w:pPr>
      <w:r>
        <w:rPr>
          <w:rFonts w:hint="eastAsia" w:ascii="Times New Roman" w:hAnsi="Times New Roman" w:eastAsia="宋体" w:cstheme="minorEastAsia"/>
          <w:color w:val="000000" w:themeColor="text1"/>
          <w:sz w:val="24"/>
          <w:szCs w:val="24"/>
          <w14:textFill>
            <w14:solidFill>
              <w14:schemeClr w14:val="tx1"/>
            </w14:solidFill>
          </w14:textFill>
        </w:rPr>
        <w:t>院内比选响应文件见附件</w:t>
      </w:r>
      <w:r>
        <w:rPr>
          <w:rFonts w:hint="eastAsia" w:ascii="Times New Roman" w:hAnsi="Times New Roman" w:eastAsia="宋体" w:cstheme="minorEastAsia"/>
          <w:color w:val="000000" w:themeColor="text1"/>
          <w:sz w:val="24"/>
          <w:szCs w:val="24"/>
          <w:lang w:val="en-US" w:eastAsia="zh-CN"/>
          <w14:textFill>
            <w14:solidFill>
              <w14:schemeClr w14:val="tx1"/>
            </w14:solidFill>
          </w14:textFill>
        </w:rPr>
        <w:t>2。</w:t>
      </w:r>
    </w:p>
    <w:p w14:paraId="4DA0268A">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信息发布方式</w:t>
      </w:r>
    </w:p>
    <w:p w14:paraId="3CCEF97D">
      <w:pPr>
        <w:pageBreakBefore w:val="0"/>
        <w:kinsoku/>
        <w:wordWrap/>
        <w:overflowPunct/>
        <w:topLinePunct w:val="0"/>
        <w:bidi w:val="0"/>
        <w:snapToGrid w:val="0"/>
        <w:spacing w:before="100" w:beforeAutospacing="1" w:after="100" w:afterAutospacing="1" w:line="360" w:lineRule="auto"/>
        <w:ind w:firstLine="480" w:firstLineChars="200"/>
        <w:contextualSpacing/>
        <w:textAlignment w:val="auto"/>
        <w:rPr>
          <w:rFonts w:hint="eastAsia" w:ascii="Times New Roman" w:hAnsi="Times New Roman" w:eastAsia="宋体" w:cstheme="minorEastAsia"/>
          <w:color w:val="000000" w:themeColor="text1"/>
          <w:sz w:val="24"/>
          <w:szCs w:val="24"/>
          <w14:textFill>
            <w14:solidFill>
              <w14:schemeClr w14:val="tx1"/>
            </w14:solidFill>
          </w14:textFill>
        </w:rPr>
      </w:pPr>
      <w:r>
        <w:rPr>
          <w:rFonts w:hint="eastAsia" w:ascii="Times New Roman" w:hAnsi="Times New Roman" w:eastAsia="宋体" w:cstheme="minorEastAsia"/>
          <w:color w:val="000000" w:themeColor="text1"/>
          <w:sz w:val="24"/>
          <w:szCs w:val="24"/>
          <w14:textFill>
            <w14:solidFill>
              <w14:schemeClr w14:val="tx1"/>
            </w14:solidFill>
          </w14:textFill>
        </w:rPr>
        <w:t>本项目需要公开的有关信息，包括公开比选公告、更正公告、比选结果公告、终止公告等与比选活动有关的通知，采购人均将通过“天津市第一中心医院官网（ https://www.tj-fch.com/ ）”公开发布。</w:t>
      </w:r>
    </w:p>
    <w:p w14:paraId="762510C5">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院内比选响应文件递交及现场比选</w:t>
      </w:r>
    </w:p>
    <w:p w14:paraId="419E1D57">
      <w:pPr>
        <w:keepNext w:val="0"/>
        <w:keepLines w:val="0"/>
        <w:pageBreakBefore w:val="0"/>
        <w:widowControl w:val="0"/>
        <w:numPr>
          <w:ilvl w:val="0"/>
          <w:numId w:val="3"/>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auto"/>
          <w:sz w:val="24"/>
          <w:szCs w:val="24"/>
          <w:lang w:val="en-US" w:eastAsia="zh-CN"/>
        </w:rPr>
      </w:pPr>
      <w:r>
        <w:rPr>
          <w:rFonts w:hint="eastAsia" w:ascii="Times New Roman" w:hAnsi="Times New Roman" w:eastAsia="宋体" w:cs="等线"/>
          <w:color w:val="000000"/>
          <w:sz w:val="24"/>
          <w:szCs w:val="24"/>
          <w:lang w:val="en-US" w:eastAsia="zh-CN"/>
        </w:rPr>
        <w:t>院内比选响应文件递交截止时</w:t>
      </w:r>
      <w:r>
        <w:rPr>
          <w:rFonts w:hint="eastAsia" w:ascii="Times New Roman" w:hAnsi="Times New Roman" w:eastAsia="宋体" w:cs="等线"/>
          <w:color w:val="auto"/>
          <w:sz w:val="24"/>
          <w:szCs w:val="24"/>
          <w:lang w:val="en-US" w:eastAsia="zh-CN"/>
        </w:rPr>
        <w:t>间：</w:t>
      </w:r>
      <w:r>
        <w:rPr>
          <w:rFonts w:hint="eastAsia" w:ascii="Times New Roman" w:hAnsi="Times New Roman" w:eastAsia="宋体" w:cs="Times New Roman"/>
          <w:color w:val="FF0000"/>
          <w:kern w:val="0"/>
          <w:sz w:val="24"/>
          <w:szCs w:val="24"/>
          <w:lang w:val="en-US" w:eastAsia="zh-CN" w:bidi="ar-SA"/>
        </w:rPr>
        <w:t>202</w:t>
      </w:r>
      <w:r>
        <w:rPr>
          <w:rFonts w:hint="eastAsia" w:cs="Times New Roman"/>
          <w:color w:val="FF0000"/>
          <w:kern w:val="0"/>
          <w:sz w:val="24"/>
          <w:szCs w:val="24"/>
          <w:lang w:val="en-US" w:eastAsia="zh-CN" w:bidi="ar-SA"/>
        </w:rPr>
        <w:t>6</w:t>
      </w:r>
      <w:r>
        <w:rPr>
          <w:rFonts w:hint="eastAsia" w:ascii="Times New Roman" w:hAnsi="Times New Roman" w:eastAsia="宋体" w:cs="Times New Roman"/>
          <w:color w:val="FF0000"/>
          <w:kern w:val="0"/>
          <w:sz w:val="24"/>
          <w:szCs w:val="24"/>
          <w:lang w:val="en-US" w:eastAsia="zh-CN" w:bidi="ar-SA"/>
        </w:rPr>
        <w:t>年</w:t>
      </w:r>
      <w:r>
        <w:rPr>
          <w:rFonts w:hint="eastAsia" w:cs="Times New Roman"/>
          <w:color w:val="FF0000"/>
          <w:kern w:val="0"/>
          <w:sz w:val="24"/>
          <w:szCs w:val="24"/>
          <w:lang w:val="en-US" w:eastAsia="zh-CN" w:bidi="ar-SA"/>
        </w:rPr>
        <w:t>9</w:t>
      </w:r>
      <w:r>
        <w:rPr>
          <w:rFonts w:hint="eastAsia" w:ascii="Times New Roman" w:hAnsi="Times New Roman" w:eastAsia="宋体" w:cs="Times New Roman"/>
          <w:color w:val="FF0000"/>
          <w:kern w:val="0"/>
          <w:sz w:val="24"/>
          <w:szCs w:val="24"/>
          <w:lang w:val="en-US" w:eastAsia="zh-CN" w:bidi="ar-SA"/>
        </w:rPr>
        <w:t>月</w:t>
      </w:r>
      <w:r>
        <w:rPr>
          <w:rFonts w:hint="eastAsia" w:cs="Times New Roman"/>
          <w:color w:val="FF0000"/>
          <w:kern w:val="0"/>
          <w:sz w:val="24"/>
          <w:szCs w:val="24"/>
          <w:lang w:val="en-US" w:eastAsia="zh-CN" w:bidi="ar-SA"/>
        </w:rPr>
        <w:t>7</w:t>
      </w:r>
      <w:r>
        <w:rPr>
          <w:rFonts w:hint="eastAsia" w:ascii="Times New Roman" w:hAnsi="Times New Roman" w:eastAsia="宋体" w:cs="Times New Roman"/>
          <w:color w:val="FF0000"/>
          <w:kern w:val="0"/>
          <w:sz w:val="24"/>
          <w:szCs w:val="24"/>
          <w:lang w:val="en-US" w:eastAsia="zh-CN" w:bidi="ar-SA"/>
        </w:rPr>
        <w:t>日1</w:t>
      </w:r>
      <w:r>
        <w:rPr>
          <w:rFonts w:hint="eastAsia" w:cs="Times New Roman"/>
          <w:color w:val="FF0000"/>
          <w:kern w:val="0"/>
          <w:sz w:val="24"/>
          <w:szCs w:val="24"/>
          <w:lang w:val="en-US" w:eastAsia="zh-CN" w:bidi="ar-SA"/>
        </w:rPr>
        <w:t>7</w:t>
      </w:r>
      <w:r>
        <w:rPr>
          <w:rFonts w:hint="eastAsia" w:ascii="Times New Roman" w:hAnsi="Times New Roman" w:eastAsia="宋体" w:cs="Times New Roman"/>
          <w:color w:val="FF0000"/>
          <w:kern w:val="0"/>
          <w:sz w:val="24"/>
          <w:szCs w:val="24"/>
          <w:lang w:val="en-US" w:eastAsia="zh-CN" w:bidi="ar-SA"/>
        </w:rPr>
        <w:t>:</w:t>
      </w:r>
      <w:r>
        <w:rPr>
          <w:rFonts w:hint="eastAsia" w:cs="Times New Roman"/>
          <w:color w:val="FF0000"/>
          <w:kern w:val="0"/>
          <w:sz w:val="24"/>
          <w:szCs w:val="24"/>
          <w:lang w:val="en-US" w:eastAsia="zh-CN" w:bidi="ar-SA"/>
        </w:rPr>
        <w:t>0</w:t>
      </w:r>
      <w:r>
        <w:rPr>
          <w:rFonts w:hint="eastAsia" w:ascii="Times New Roman" w:hAnsi="Times New Roman" w:eastAsia="宋体" w:cs="Times New Roman"/>
          <w:color w:val="FF0000"/>
          <w:kern w:val="0"/>
          <w:sz w:val="24"/>
          <w:szCs w:val="24"/>
          <w:lang w:val="en-US" w:eastAsia="zh-CN" w:bidi="ar-SA"/>
        </w:rPr>
        <w:t>0</w:t>
      </w:r>
      <w:r>
        <w:rPr>
          <w:rFonts w:hint="eastAsia" w:ascii="Times New Roman" w:hAnsi="Times New Roman" w:eastAsia="宋体" w:cs="等线"/>
          <w:color w:val="auto"/>
          <w:sz w:val="24"/>
          <w:szCs w:val="24"/>
          <w:lang w:val="en-US" w:eastAsia="zh-CN"/>
        </w:rPr>
        <w:t>。</w:t>
      </w:r>
    </w:p>
    <w:p w14:paraId="0BC90685">
      <w:pPr>
        <w:keepNext w:val="0"/>
        <w:keepLines w:val="0"/>
        <w:pageBreakBefore w:val="0"/>
        <w:widowControl w:val="0"/>
        <w:numPr>
          <w:ilvl w:val="0"/>
          <w:numId w:val="3"/>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auto"/>
          <w:sz w:val="24"/>
          <w:szCs w:val="24"/>
          <w:lang w:val="en-US" w:eastAsia="zh-CN"/>
        </w:rPr>
      </w:pPr>
      <w:r>
        <w:rPr>
          <w:rFonts w:hint="eastAsia" w:ascii="Times New Roman" w:hAnsi="Times New Roman" w:eastAsia="宋体" w:cs="等线"/>
          <w:color w:val="auto"/>
          <w:sz w:val="24"/>
          <w:szCs w:val="24"/>
          <w:lang w:val="en-US" w:eastAsia="zh-CN"/>
        </w:rPr>
        <w:t>院内比选响应文件递交方式：文件密封后邮寄至天津市第一中心医院（水西院区）设备物资处。</w:t>
      </w:r>
    </w:p>
    <w:p w14:paraId="620B5B18">
      <w:pPr>
        <w:keepNext w:val="0"/>
        <w:keepLines w:val="0"/>
        <w:pageBreakBefore w:val="0"/>
        <w:widowControl w:val="0"/>
        <w:numPr>
          <w:ilvl w:val="0"/>
          <w:numId w:val="3"/>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auto"/>
          <w:sz w:val="24"/>
          <w:szCs w:val="24"/>
          <w:lang w:val="en-US" w:eastAsia="zh-CN"/>
        </w:rPr>
      </w:pPr>
      <w:r>
        <w:rPr>
          <w:rFonts w:hint="eastAsia" w:ascii="Times New Roman" w:hAnsi="Times New Roman" w:eastAsia="宋体" w:cs="等线"/>
          <w:color w:val="auto"/>
          <w:sz w:val="24"/>
          <w:szCs w:val="24"/>
          <w:lang w:val="en-US" w:eastAsia="zh-CN"/>
        </w:rPr>
        <w:t>启封院内比选响应文件、现场比选时间：</w:t>
      </w:r>
      <w:r>
        <w:rPr>
          <w:rFonts w:hint="eastAsia" w:ascii="Times New Roman" w:hAnsi="Times New Roman" w:eastAsia="宋体" w:cs="Times New Roman"/>
          <w:color w:val="FF0000"/>
          <w:kern w:val="0"/>
          <w:sz w:val="24"/>
          <w:szCs w:val="24"/>
          <w:lang w:val="en-US" w:eastAsia="zh-CN" w:bidi="ar-SA"/>
        </w:rPr>
        <w:t>202</w:t>
      </w:r>
      <w:r>
        <w:rPr>
          <w:rFonts w:hint="eastAsia" w:cs="Times New Roman"/>
          <w:color w:val="FF0000"/>
          <w:kern w:val="0"/>
          <w:sz w:val="24"/>
          <w:szCs w:val="24"/>
          <w:lang w:val="en-US" w:eastAsia="zh-CN" w:bidi="ar-SA"/>
        </w:rPr>
        <w:t>6</w:t>
      </w:r>
      <w:r>
        <w:rPr>
          <w:rFonts w:hint="eastAsia" w:ascii="Times New Roman" w:hAnsi="Times New Roman" w:eastAsia="宋体" w:cs="Times New Roman"/>
          <w:color w:val="FF0000"/>
          <w:kern w:val="0"/>
          <w:sz w:val="24"/>
          <w:szCs w:val="24"/>
          <w:lang w:val="en-US" w:eastAsia="zh-CN" w:bidi="ar-SA"/>
        </w:rPr>
        <w:t>年</w:t>
      </w:r>
      <w:r>
        <w:rPr>
          <w:rFonts w:hint="eastAsia" w:cs="Times New Roman"/>
          <w:color w:val="FF0000"/>
          <w:kern w:val="0"/>
          <w:sz w:val="24"/>
          <w:szCs w:val="24"/>
          <w:lang w:val="en-US" w:eastAsia="zh-CN" w:bidi="ar-SA"/>
        </w:rPr>
        <w:t>9</w:t>
      </w:r>
      <w:r>
        <w:rPr>
          <w:rFonts w:hint="eastAsia" w:ascii="Times New Roman" w:hAnsi="Times New Roman" w:eastAsia="宋体" w:cs="Times New Roman"/>
          <w:color w:val="FF0000"/>
          <w:kern w:val="0"/>
          <w:sz w:val="24"/>
          <w:szCs w:val="24"/>
          <w:lang w:val="en-US" w:eastAsia="zh-CN" w:bidi="ar-SA"/>
        </w:rPr>
        <w:t>月</w:t>
      </w:r>
      <w:r>
        <w:rPr>
          <w:rFonts w:hint="eastAsia" w:cs="Times New Roman"/>
          <w:color w:val="FF0000"/>
          <w:kern w:val="0"/>
          <w:sz w:val="24"/>
          <w:szCs w:val="24"/>
          <w:lang w:val="en-US" w:eastAsia="zh-CN" w:bidi="ar-SA"/>
        </w:rPr>
        <w:t>8</w:t>
      </w:r>
      <w:r>
        <w:rPr>
          <w:rFonts w:hint="eastAsia" w:ascii="Times New Roman" w:hAnsi="Times New Roman" w:eastAsia="宋体" w:cs="Times New Roman"/>
          <w:color w:val="FF0000"/>
          <w:kern w:val="0"/>
          <w:sz w:val="24"/>
          <w:szCs w:val="24"/>
          <w:lang w:val="en-US" w:eastAsia="zh-CN" w:bidi="ar-SA"/>
        </w:rPr>
        <w:t>日9:</w:t>
      </w:r>
      <w:r>
        <w:rPr>
          <w:rFonts w:hint="eastAsia" w:cs="Times New Roman"/>
          <w:color w:val="FF0000"/>
          <w:kern w:val="0"/>
          <w:sz w:val="24"/>
          <w:szCs w:val="24"/>
          <w:lang w:val="en-US" w:eastAsia="zh-CN" w:bidi="ar-SA"/>
        </w:rPr>
        <w:t>0</w:t>
      </w:r>
      <w:r>
        <w:rPr>
          <w:rFonts w:hint="eastAsia" w:ascii="Times New Roman" w:hAnsi="Times New Roman" w:eastAsia="宋体" w:cs="Times New Roman"/>
          <w:color w:val="FF0000"/>
          <w:kern w:val="0"/>
          <w:sz w:val="24"/>
          <w:szCs w:val="24"/>
          <w:lang w:val="en-US" w:eastAsia="zh-CN" w:bidi="ar-SA"/>
        </w:rPr>
        <w:t>0</w:t>
      </w:r>
      <w:r>
        <w:rPr>
          <w:rFonts w:hint="eastAsia" w:ascii="Times New Roman" w:hAnsi="Times New Roman" w:eastAsia="宋体" w:cs="Times New Roman"/>
          <w:color w:val="auto"/>
          <w:kern w:val="0"/>
          <w:sz w:val="24"/>
          <w:szCs w:val="24"/>
          <w:lang w:val="en-US" w:eastAsia="zh-CN" w:bidi="ar-SA"/>
        </w:rPr>
        <w:t>。</w:t>
      </w:r>
    </w:p>
    <w:p w14:paraId="4FF2278D">
      <w:pPr>
        <w:keepNext w:val="0"/>
        <w:keepLines w:val="0"/>
        <w:pageBreakBefore w:val="0"/>
        <w:widowControl w:val="0"/>
        <w:numPr>
          <w:ilvl w:val="0"/>
          <w:numId w:val="3"/>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auto"/>
          <w:sz w:val="24"/>
          <w:szCs w:val="24"/>
          <w:lang w:val="en-US" w:eastAsia="zh-CN"/>
        </w:rPr>
      </w:pPr>
      <w:r>
        <w:rPr>
          <w:rFonts w:hint="eastAsia" w:ascii="Times New Roman" w:hAnsi="Times New Roman" w:eastAsia="宋体" w:cs="等线"/>
          <w:color w:val="auto"/>
          <w:sz w:val="24"/>
          <w:szCs w:val="24"/>
          <w:lang w:val="en-US" w:eastAsia="zh-CN"/>
        </w:rPr>
        <w:t>院内比选地点：天津市第一中心医院（水西院区）设备物资处6楼会议室。</w:t>
      </w:r>
    </w:p>
    <w:p w14:paraId="310C22EC">
      <w:pPr>
        <w:pStyle w:val="3"/>
        <w:pageBreakBefore w:val="0"/>
        <w:numPr>
          <w:ilvl w:val="0"/>
          <w:numId w:val="1"/>
        </w:numPr>
        <w:kinsoku/>
        <w:wordWrap/>
        <w:overflowPunct/>
        <w:topLinePunct w:val="0"/>
        <w:bidi w:val="0"/>
        <w:spacing w:before="100" w:beforeAutospacing="1" w:after="100" w:afterAutospacing="1"/>
        <w:ind w:leftChars="0" w:right="0" w:rightChars="0" w:hanging="6"/>
        <w:textAlignment w:val="auto"/>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b/>
          <w:color w:val="000000" w:themeColor="text1"/>
          <w:kern w:val="2"/>
          <w:sz w:val="24"/>
          <w:szCs w:val="24"/>
          <w:lang w:val="en-US" w:eastAsia="zh-CN" w:bidi="ar-SA"/>
          <w14:textFill>
            <w14:solidFill>
              <w14:schemeClr w14:val="tx1"/>
            </w14:solidFill>
          </w14:textFill>
        </w:rPr>
        <w:t>项目联系方式</w:t>
      </w:r>
    </w:p>
    <w:p w14:paraId="1DC311A0">
      <w:pPr>
        <w:keepNext w:val="0"/>
        <w:keepLines w:val="0"/>
        <w:pageBreakBefore w:val="0"/>
        <w:widowControl w:val="0"/>
        <w:numPr>
          <w:ilvl w:val="0"/>
          <w:numId w:val="4"/>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政务邮箱：</w:t>
      </w:r>
      <w:r>
        <w:rPr>
          <w:rFonts w:hint="eastAsia" w:ascii="Times New Roman" w:hAnsi="Times New Roman" w:eastAsia="宋体" w:cs="等线"/>
          <w:color w:val="000000"/>
          <w:sz w:val="24"/>
          <w:szCs w:val="24"/>
          <w:lang w:val="en-US" w:eastAsia="zh-CN"/>
        </w:rPr>
        <w:fldChar w:fldCharType="begin"/>
      </w:r>
      <w:r>
        <w:rPr>
          <w:rFonts w:hint="eastAsia" w:ascii="Times New Roman" w:hAnsi="Times New Roman" w:eastAsia="宋体" w:cs="等线"/>
          <w:color w:val="000000"/>
          <w:sz w:val="24"/>
          <w:szCs w:val="24"/>
          <w:lang w:val="en-US" w:eastAsia="zh-CN"/>
        </w:rPr>
        <w:instrText xml:space="preserve"> HYPERLINK "mailto:sdyzxsbwzcsbk@tj.gov.cn" </w:instrText>
      </w:r>
      <w:r>
        <w:rPr>
          <w:rFonts w:hint="eastAsia" w:ascii="Times New Roman" w:hAnsi="Times New Roman" w:eastAsia="宋体" w:cs="等线"/>
          <w:color w:val="000000"/>
          <w:sz w:val="24"/>
          <w:szCs w:val="24"/>
          <w:lang w:val="en-US" w:eastAsia="zh-CN"/>
        </w:rPr>
        <w:fldChar w:fldCharType="separate"/>
      </w:r>
      <w:r>
        <w:rPr>
          <w:rStyle w:val="10"/>
          <w:rFonts w:hint="eastAsia" w:ascii="Times New Roman" w:hAnsi="Times New Roman" w:eastAsia="宋体" w:cs="等线"/>
          <w:sz w:val="24"/>
          <w:szCs w:val="24"/>
          <w:lang w:val="en-US" w:eastAsia="zh-CN"/>
        </w:rPr>
        <w:t>sdyzxsbwzcsbk@tj.gov.cn</w:t>
      </w:r>
      <w:r>
        <w:rPr>
          <w:rFonts w:hint="eastAsia" w:ascii="Times New Roman" w:hAnsi="Times New Roman" w:eastAsia="宋体" w:cs="等线"/>
          <w:color w:val="000000"/>
          <w:sz w:val="24"/>
          <w:szCs w:val="24"/>
          <w:lang w:val="en-US" w:eastAsia="zh-CN"/>
        </w:rPr>
        <w:fldChar w:fldCharType="end"/>
      </w:r>
    </w:p>
    <w:p w14:paraId="49228686">
      <w:pPr>
        <w:keepNext w:val="0"/>
        <w:keepLines w:val="0"/>
        <w:pageBreakBefore w:val="0"/>
        <w:widowControl w:val="0"/>
        <w:numPr>
          <w:ilvl w:val="0"/>
          <w:numId w:val="4"/>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地点：天津市西青区保山西道2号</w:t>
      </w:r>
    </w:p>
    <w:p w14:paraId="6BF534F1">
      <w:pPr>
        <w:keepNext w:val="0"/>
        <w:keepLines w:val="0"/>
        <w:pageBreakBefore w:val="0"/>
        <w:widowControl w:val="0"/>
        <w:numPr>
          <w:ilvl w:val="0"/>
          <w:numId w:val="4"/>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bookmarkStart w:id="5" w:name="OLE_LINK1"/>
      <w:bookmarkStart w:id="6" w:name="OLE_LINK2"/>
      <w:r>
        <w:rPr>
          <w:rFonts w:hint="eastAsia" w:ascii="Times New Roman" w:hAnsi="Times New Roman" w:eastAsia="宋体" w:cs="等线"/>
          <w:color w:val="000000"/>
          <w:sz w:val="24"/>
          <w:szCs w:val="24"/>
          <w:lang w:val="en-US" w:eastAsia="zh-CN"/>
        </w:rPr>
        <w:t>联系电话：022-</w:t>
      </w:r>
      <w:bookmarkEnd w:id="5"/>
      <w:bookmarkEnd w:id="6"/>
      <w:r>
        <w:rPr>
          <w:rFonts w:hint="eastAsia" w:ascii="Times New Roman" w:hAnsi="Times New Roman" w:eastAsia="宋体" w:cs="等线"/>
          <w:color w:val="000000"/>
          <w:sz w:val="24"/>
          <w:szCs w:val="24"/>
          <w:lang w:val="en-US" w:eastAsia="zh-CN"/>
        </w:rPr>
        <w:t>23628323</w:t>
      </w:r>
    </w:p>
    <w:p w14:paraId="2E9D8C38">
      <w:pPr>
        <w:keepNext w:val="0"/>
        <w:keepLines w:val="0"/>
        <w:pageBreakBefore w:val="0"/>
        <w:widowControl w:val="0"/>
        <w:numPr>
          <w:ilvl w:val="0"/>
          <w:numId w:val="4"/>
        </w:numPr>
        <w:kinsoku/>
        <w:wordWrap/>
        <w:overflowPunct/>
        <w:topLinePunct w:val="0"/>
        <w:autoSpaceDE/>
        <w:autoSpaceDN/>
        <w:bidi w:val="0"/>
        <w:adjustRightInd/>
        <w:snapToGrid w:val="0"/>
        <w:spacing w:before="100" w:beforeAutospacing="1" w:after="100" w:afterAutospacing="1" w:line="360" w:lineRule="auto"/>
        <w:ind w:left="845" w:leftChars="200" w:hanging="425" w:firstLineChars="0"/>
        <w:contextualSpacing/>
        <w:textAlignment w:val="auto"/>
        <w:rPr>
          <w:rFonts w:hint="eastAsia" w:ascii="Times New Roman" w:hAnsi="Times New Roman" w:eastAsia="宋体" w:cs="等线"/>
          <w:color w:val="000000"/>
          <w:sz w:val="24"/>
          <w:szCs w:val="24"/>
          <w:lang w:val="en-US" w:eastAsia="zh-CN"/>
        </w:rPr>
      </w:pPr>
      <w:r>
        <w:rPr>
          <w:rFonts w:hint="eastAsia" w:ascii="Times New Roman" w:hAnsi="Times New Roman" w:eastAsia="宋体" w:cs="等线"/>
          <w:color w:val="000000"/>
          <w:sz w:val="24"/>
          <w:szCs w:val="24"/>
          <w:lang w:val="en-US" w:eastAsia="zh-CN"/>
        </w:rPr>
        <w:t>联系人：王老师</w:t>
      </w:r>
    </w:p>
    <w:p w14:paraId="7F47D95E">
      <w:pPr>
        <w:snapToGrid w:val="0"/>
        <w:spacing w:line="360" w:lineRule="auto"/>
        <w:ind w:right="210" w:firstLine="420" w:firstLineChars="200"/>
        <w:contextualSpacing/>
        <w:jc w:val="right"/>
        <w:rPr>
          <w:rFonts w:ascii="Times New Roman" w:hAnsi="Times New Roman"/>
          <w:color w:val="auto"/>
          <w:szCs w:val="21"/>
          <w:shd w:val="clear" w:color="auto" w:fill="FFFFFF"/>
        </w:rPr>
      </w:pPr>
    </w:p>
    <w:p w14:paraId="7DC73615">
      <w:pPr>
        <w:keepNext w:val="0"/>
        <w:keepLines w:val="0"/>
        <w:pageBreakBefore w:val="0"/>
        <w:widowControl w:val="0"/>
        <w:kinsoku/>
        <w:wordWrap/>
        <w:overflowPunct/>
        <w:topLinePunct w:val="0"/>
        <w:autoSpaceDE/>
        <w:autoSpaceDN/>
        <w:bidi w:val="0"/>
        <w:adjustRightInd/>
        <w:snapToGrid w:val="0"/>
        <w:spacing w:before="100" w:beforeAutospacing="1" w:after="100" w:afterAutospacing="1" w:line="360" w:lineRule="auto"/>
        <w:ind w:right="0" w:firstLine="5640" w:firstLineChars="2350"/>
        <w:contextualSpacing/>
        <w:jc w:val="right"/>
        <w:textAlignment w:val="auto"/>
        <w:rPr>
          <w:rFonts w:hint="eastAsia" w:ascii="Times New Roman" w:hAnsi="Times New Roman" w:eastAsia="宋体" w:cstheme="minorEastAsia"/>
          <w:color w:val="auto"/>
          <w:sz w:val="24"/>
          <w:szCs w:val="24"/>
        </w:rPr>
      </w:pPr>
      <w:r>
        <w:rPr>
          <w:rFonts w:hint="eastAsia" w:ascii="Times New Roman" w:hAnsi="Times New Roman" w:eastAsia="宋体" w:cstheme="minorEastAsia"/>
          <w:color w:val="auto"/>
          <w:sz w:val="24"/>
          <w:szCs w:val="24"/>
        </w:rPr>
        <w:t xml:space="preserve"> 天津市第一中心医院</w:t>
      </w:r>
    </w:p>
    <w:p w14:paraId="67585122">
      <w:pPr>
        <w:keepNext w:val="0"/>
        <w:keepLines w:val="0"/>
        <w:pageBreakBefore w:val="0"/>
        <w:widowControl w:val="0"/>
        <w:kinsoku/>
        <w:wordWrap/>
        <w:overflowPunct/>
        <w:topLinePunct w:val="0"/>
        <w:autoSpaceDE/>
        <w:autoSpaceDN/>
        <w:bidi w:val="0"/>
        <w:adjustRightInd/>
        <w:snapToGrid w:val="0"/>
        <w:spacing w:before="100" w:beforeAutospacing="1" w:after="100" w:afterAutospacing="1" w:line="360" w:lineRule="auto"/>
        <w:ind w:right="0" w:firstLine="5640" w:firstLineChars="2350"/>
        <w:contextualSpacing/>
        <w:jc w:val="right"/>
        <w:textAlignment w:val="auto"/>
        <w:rPr>
          <w:rFonts w:ascii="Times New Roman" w:hAnsi="Times New Roman"/>
          <w:color w:val="FF0000"/>
        </w:rPr>
      </w:pPr>
      <w:r>
        <w:rPr>
          <w:rFonts w:hint="eastAsia" w:ascii="Times New Roman" w:hAnsi="Times New Roman" w:eastAsia="宋体" w:cs="等线"/>
          <w:color w:val="FF0000"/>
          <w:sz w:val="24"/>
          <w:szCs w:val="24"/>
        </w:rPr>
        <w:t>202</w:t>
      </w:r>
      <w:r>
        <w:rPr>
          <w:rFonts w:hint="eastAsia" w:cs="等线"/>
          <w:color w:val="FF0000"/>
          <w:sz w:val="24"/>
          <w:szCs w:val="24"/>
          <w:lang w:val="en-US" w:eastAsia="zh-CN"/>
        </w:rPr>
        <w:t>6</w:t>
      </w:r>
      <w:r>
        <w:rPr>
          <w:rFonts w:hint="eastAsia" w:ascii="Times New Roman" w:hAnsi="Times New Roman" w:eastAsia="宋体" w:cs="等线"/>
          <w:color w:val="FF0000"/>
          <w:sz w:val="24"/>
          <w:szCs w:val="24"/>
        </w:rPr>
        <w:t>年</w:t>
      </w:r>
      <w:r>
        <w:rPr>
          <w:rFonts w:hint="eastAsia" w:cs="等线"/>
          <w:color w:val="FF0000"/>
          <w:sz w:val="24"/>
          <w:szCs w:val="24"/>
          <w:lang w:val="en-US" w:eastAsia="zh-CN"/>
        </w:rPr>
        <w:t>8</w:t>
      </w:r>
      <w:r>
        <w:rPr>
          <w:rFonts w:hint="eastAsia" w:ascii="Times New Roman" w:hAnsi="Times New Roman" w:eastAsia="宋体" w:cs="等线"/>
          <w:color w:val="FF0000"/>
          <w:sz w:val="24"/>
          <w:szCs w:val="24"/>
        </w:rPr>
        <w:t>月</w:t>
      </w:r>
      <w:r>
        <w:rPr>
          <w:rFonts w:hint="eastAsia" w:cs="等线"/>
          <w:color w:val="FF0000"/>
          <w:sz w:val="24"/>
          <w:szCs w:val="24"/>
          <w:lang w:val="en-US" w:eastAsia="zh-CN"/>
        </w:rPr>
        <w:t>31</w:t>
      </w:r>
      <w:r>
        <w:rPr>
          <w:rFonts w:hint="eastAsia" w:ascii="Times New Roman" w:hAnsi="Times New Roman" w:eastAsia="宋体" w:cs="等线"/>
          <w:color w:val="FF0000"/>
          <w:sz w:val="24"/>
          <w:szCs w:val="24"/>
        </w:rPr>
        <w:t>日</w:t>
      </w:r>
    </w:p>
    <w:sectPr>
      <w:pgSz w:w="11906" w:h="16838"/>
      <w:pgMar w:top="1440"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87C434"/>
    <w:multiLevelType w:val="singleLevel"/>
    <w:tmpl w:val="CA87C434"/>
    <w:lvl w:ilvl="0" w:tentative="0">
      <w:start w:val="1"/>
      <w:numFmt w:val="decimal"/>
      <w:lvlText w:val="%1."/>
      <w:lvlJc w:val="left"/>
      <w:pPr>
        <w:ind w:left="425" w:hanging="425"/>
      </w:pPr>
      <w:rPr>
        <w:rFonts w:hint="default"/>
      </w:rPr>
    </w:lvl>
  </w:abstractNum>
  <w:abstractNum w:abstractNumId="1">
    <w:nsid w:val="1882A39A"/>
    <w:multiLevelType w:val="singleLevel"/>
    <w:tmpl w:val="1882A39A"/>
    <w:lvl w:ilvl="0" w:tentative="0">
      <w:start w:val="1"/>
      <w:numFmt w:val="decimal"/>
      <w:lvlText w:val="%1."/>
      <w:lvlJc w:val="left"/>
      <w:pPr>
        <w:ind w:left="425" w:hanging="425"/>
      </w:pPr>
      <w:rPr>
        <w:rFonts w:hint="default"/>
      </w:rPr>
    </w:lvl>
  </w:abstractNum>
  <w:abstractNum w:abstractNumId="2">
    <w:nsid w:val="2CC0CAFF"/>
    <w:multiLevelType w:val="singleLevel"/>
    <w:tmpl w:val="2CC0CAFF"/>
    <w:lvl w:ilvl="0" w:tentative="0">
      <w:start w:val="1"/>
      <w:numFmt w:val="decimal"/>
      <w:lvlText w:val="%1."/>
      <w:lvlJc w:val="left"/>
      <w:pPr>
        <w:ind w:left="425" w:hanging="425"/>
      </w:pPr>
      <w:rPr>
        <w:rFonts w:hint="default"/>
      </w:rPr>
    </w:lvl>
  </w:abstractNum>
  <w:abstractNum w:abstractNumId="3">
    <w:nsid w:val="3B4828BE"/>
    <w:multiLevelType w:val="singleLevel"/>
    <w:tmpl w:val="3B4828BE"/>
    <w:lvl w:ilvl="0" w:tentative="0">
      <w:start w:val="1"/>
      <w:numFmt w:val="chineseCounting"/>
      <w:suff w:val="nothing"/>
      <w:lvlText w:val="%1、"/>
      <w:lvlJc w:val="left"/>
      <w:pPr>
        <w:ind w:left="6" w:firstLine="420"/>
      </w:pPr>
      <w:rPr>
        <w:rFonts w:hint="eastAsia"/>
        <w:lang w:val="en-US"/>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157CA4"/>
    <w:rsid w:val="03320ED0"/>
    <w:rsid w:val="03625C1A"/>
    <w:rsid w:val="08982B34"/>
    <w:rsid w:val="08BE20A1"/>
    <w:rsid w:val="0A5D4E47"/>
    <w:rsid w:val="0B9F3B52"/>
    <w:rsid w:val="0D9A69E7"/>
    <w:rsid w:val="0EAF1BEC"/>
    <w:rsid w:val="0EFA5139"/>
    <w:rsid w:val="11C07CEF"/>
    <w:rsid w:val="138216AF"/>
    <w:rsid w:val="13A02D2C"/>
    <w:rsid w:val="13D4703D"/>
    <w:rsid w:val="16B23F8B"/>
    <w:rsid w:val="172440CE"/>
    <w:rsid w:val="183F48C2"/>
    <w:rsid w:val="1F073C5F"/>
    <w:rsid w:val="1F4F7915"/>
    <w:rsid w:val="21334BB1"/>
    <w:rsid w:val="252A5F1D"/>
    <w:rsid w:val="29880D08"/>
    <w:rsid w:val="31E35BA3"/>
    <w:rsid w:val="36A7772F"/>
    <w:rsid w:val="36DE12F2"/>
    <w:rsid w:val="37666400"/>
    <w:rsid w:val="38DE0CE3"/>
    <w:rsid w:val="39364142"/>
    <w:rsid w:val="3AAD3487"/>
    <w:rsid w:val="3ABE7DBD"/>
    <w:rsid w:val="3CF36A65"/>
    <w:rsid w:val="3D0575D8"/>
    <w:rsid w:val="42873880"/>
    <w:rsid w:val="4661564E"/>
    <w:rsid w:val="48945CB4"/>
    <w:rsid w:val="4B4B027C"/>
    <w:rsid w:val="4E10527C"/>
    <w:rsid w:val="4F950C90"/>
    <w:rsid w:val="531C2364"/>
    <w:rsid w:val="53406834"/>
    <w:rsid w:val="540A4E77"/>
    <w:rsid w:val="545502B4"/>
    <w:rsid w:val="55D2387C"/>
    <w:rsid w:val="55EE206A"/>
    <w:rsid w:val="58CF79EF"/>
    <w:rsid w:val="58E635EE"/>
    <w:rsid w:val="603F76A6"/>
    <w:rsid w:val="61002D8E"/>
    <w:rsid w:val="61ED0EA6"/>
    <w:rsid w:val="637F2CFA"/>
    <w:rsid w:val="64E440E5"/>
    <w:rsid w:val="652D1859"/>
    <w:rsid w:val="66A346D4"/>
    <w:rsid w:val="69FF45C4"/>
    <w:rsid w:val="6AA047F3"/>
    <w:rsid w:val="70FF0561"/>
    <w:rsid w:val="7256391B"/>
    <w:rsid w:val="73911760"/>
    <w:rsid w:val="777F6D62"/>
    <w:rsid w:val="79BC4DA7"/>
    <w:rsid w:val="7ADC21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720" w:lineRule="auto"/>
      <w:jc w:val="center"/>
      <w:outlineLvl w:val="0"/>
    </w:pPr>
    <w:rPr>
      <w:b/>
      <w:bCs/>
      <w:kern w:val="44"/>
      <w:sz w:val="28"/>
      <w:szCs w:val="44"/>
    </w:rPr>
  </w:style>
  <w:style w:type="paragraph" w:styleId="3">
    <w:name w:val="heading 2"/>
    <w:basedOn w:val="1"/>
    <w:next w:val="1"/>
    <w:qFormat/>
    <w:uiPriority w:val="0"/>
    <w:pPr>
      <w:keepNext/>
      <w:keepLines/>
      <w:spacing w:line="360" w:lineRule="auto"/>
      <w:ind w:left="100" w:leftChars="100" w:right="100" w:rightChars="100"/>
      <w:jc w:val="left"/>
      <w:outlineLvl w:val="1"/>
    </w:pPr>
    <w:rPr>
      <w:rFonts w:ascii="Arial" w:hAnsi="Arial"/>
      <w:sz w:val="24"/>
      <w:szCs w:val="20"/>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toa heading"/>
    <w:next w:val="1"/>
    <w:qFormat/>
    <w:uiPriority w:val="0"/>
    <w:pPr>
      <w:widowControl w:val="0"/>
      <w:spacing w:before="120" w:after="120"/>
      <w:jc w:val="both"/>
    </w:pPr>
    <w:rPr>
      <w:rFonts w:ascii="Arial" w:hAnsi="Arial" w:eastAsia="宋体" w:cs="Arial"/>
      <w:kern w:val="2"/>
      <w:sz w:val="24"/>
      <w:szCs w:val="24"/>
      <w:lang w:val="en-US" w:eastAsia="zh-CN" w:bidi="ar-SA"/>
    </w:rPr>
  </w:style>
  <w:style w:type="paragraph" w:styleId="5">
    <w:name w:val="annotation text"/>
    <w:basedOn w:val="1"/>
    <w:qFormat/>
    <w:uiPriority w:val="0"/>
    <w:pPr>
      <w:jc w:val="left"/>
    </w:pPr>
  </w:style>
  <w:style w:type="paragraph" w:styleId="6">
    <w:name w:val="Body Text"/>
    <w:basedOn w:val="1"/>
    <w:next w:val="1"/>
    <w:qFormat/>
    <w:uiPriority w:val="0"/>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qFormat/>
    <w:uiPriority w:val="99"/>
    <w:rPr>
      <w:color w:val="0000FF"/>
      <w:u w:val="single"/>
    </w:rPr>
  </w:style>
  <w:style w:type="paragraph" w:customStyle="1" w:styleId="11">
    <w:name w:val="表格文字"/>
    <w:qFormat/>
    <w:uiPriority w:val="0"/>
    <w:pPr>
      <w:widowControl w:val="0"/>
      <w:spacing w:before="25" w:after="25" w:line="360" w:lineRule="auto"/>
      <w:ind w:firstLine="723" w:firstLineChars="200"/>
      <w:jc w:val="left"/>
    </w:pPr>
    <w:rPr>
      <w:rFonts w:ascii="宋体" w:hAnsi="宋体" w:eastAsia="宋体" w:cs="宋体"/>
      <w:bCs/>
      <w:spacing w:val="10"/>
      <w:kern w:val="2"/>
      <w:sz w:val="24"/>
      <w:szCs w:val="24"/>
      <w:lang w:val="en-US" w:eastAsia="zh-CN" w:bidi="ar-SA"/>
    </w:rPr>
  </w:style>
  <w:style w:type="paragraph" w:styleId="12">
    <w:name w:val="List Paragraph"/>
    <w:basedOn w:val="1"/>
    <w:qFormat/>
    <w:uiPriority w:val="34"/>
    <w:pPr>
      <w:ind w:firstLine="420" w:firstLineChars="200"/>
    </w:pPr>
  </w:style>
  <w:style w:type="paragraph" w:customStyle="1" w:styleId="13">
    <w:name w:val="16"/>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1583</Words>
  <Characters>1696</Characters>
  <Lines>0</Lines>
  <Paragraphs>0</Paragraphs>
  <TotalTime>22</TotalTime>
  <ScaleCrop>false</ScaleCrop>
  <LinksUpToDate>false</LinksUpToDate>
  <CharactersWithSpaces>1701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2025-06-23T06:21:00Z</dcterms:created>
  <dc:creator>田佳宜</dc:creator>
  <cp:lastModifiedBy>Cher</cp:lastModifiedBy>
  <dcterms:modified xsi:type="dcterms:W3CDTF">2026-08-27T07:11:30Z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12787C797E3A4B71A434619585DCB0FE_13</vt:lpwstr>
  </property>
  <property fmtid="{D5CDD505-2E9C-101B-9397-08002B2CF9AE}" pid="4" name="KSOTemplateDocerSaveRecord">
    <vt:lpwstr>eyJoZGlkIjoiZTI5YTgyZmZhOWZmMDBlYzA0YmY2M2Y0ZGJkYzUxNWMiLCJ1c2VySWQiOiI0OTA4OTEyMDMifQ==</vt:lpwstr>
  </property>
</Properties>
</file>