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天津市第一中心医院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天津市第一中心医院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1）贯彻落实国家和天津市关于卫生健康方面的法律法规、政策、规划和标准，完成市委、市政府、市卫健委部署的医疗任务。组织实施医疗、预防、保健等卫生服务，为改善民生、提高公民健康水平，发挥公立医院的社会公益性作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（2）贯彻落实医药卫生体制改革政策，推进以医疗质量、运营效率、持续发展和满意评价为核心的公立医院改革。坚持以健康为中心、以患者为中心，不断改善人民群众看病就医体验，构建和谐医患关系。</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（3）统筹规划医院资源配置，根据医院服务功能定位，编制和实施医院发展规划，建立科学的医院管理体系和医疗质量管理与持续改进机制，不断提高医疗质量与服务水平。</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（4）制定医学人才的培养机制与措施，建立科学的医学人才梯队，培养高层次医学人才。高质量完成各专业各层次的教学任务，发挥教学医院的实训作用。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（5）积极开展临床科学研究，推进科技创新，助力科研成果的实际转化与应用。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（6）落实国家药物政策和国家基本用药制度，加强药品的使用监测，完善临床药学工作，确保用药安全。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（7）履行公共卫生的相应职能，加强传染病的发现与报告、职业防护等方面的管理，持续开展控烟管理、慢性病管理、疾病预防等健康促进工作。</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（8）积极承担社会突发公共卫生事件中医疗救治责任，建立重症创伤等生命急救绿色通道，组建技术力量雄厚的应急救援预备队伍，实施规范、快速、有效的应急响应机制。</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（9）负责各个类别的医疗保健工作，负责天津市重要会议与重大活动的医疗卫生保障工作。</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10）充分发挥三级医院优质医疗资源的示范和带动作用，大力推进对口帮扶工作，外派医务人员参加援甘、援疆、援藏、援外工作，完成京津冀协同发展中医疗帮建、帮带任务，加强与基层医院的医疗技术合作。</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（11）推进医院管理的创新与发展，提速智慧医疗建设，健全服务体系，提供多元化、多样化的医疗服务，加强医院安全生产管理，扩大对外合作与交流，为新时代天津高质量发展发挥作用</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天津市第一中心医院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天津市第一中心医院本级。</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天津市第一中心医院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238004388.56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61840000.00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3831883340.22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1000000.00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4282013651.09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173151780.59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63411100.00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4304879509.37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4346424751.09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48818189.37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98931295.85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106204243.50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98931295.85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4452628994.59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4452628994.59</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天津市第一中心医院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4304879509.37</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299844388.56</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3831883340.22</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173151780.59</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4240468409.37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235433288.56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3831883340.22</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173151780.59</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4229904635.57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224869514.76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3831883340.22</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173151780.59</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综合医院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4229904635.57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224869514.76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3831883340.22</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173151780.59</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1391773.80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1391773.80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535000.00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535000.00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856773.80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856773.80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9172000.00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9172000.00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6723000.00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6723000.00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2449000.00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2449000.00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63411100.00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63411100.00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1571100.00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1571100.00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1571100.00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1571100.00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地方政府专项债务付息支出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61840000.00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61840000.00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2320498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61840000.00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61840000.00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天津市第一中心医院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4452628994.59</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4304879509.37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238004388.56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61840000.00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3831883340.22</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173151780.59</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天津市第一中心医院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4452628994.59</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4304879509.37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238004388.56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61840000.00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3831883340.22</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173151780.59</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天津市第一中心医院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147749485.22</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147749485.22</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147749485.22</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天津市第一中心医院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147749485.22</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147749485.22</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147749485.22</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天津市第一中心医院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4346424751.09</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2003333846.66</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2343090904.43</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人力资源和社会保障管理事务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引进人才费用</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4282013651.09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2003333846.66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2278679804.43</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公立医院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4271449877.29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1994161846.66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2277288030.63</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综合医院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4271449877.29</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1994161846.66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2277288030.63</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1391773.80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1391773.80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基本公共卫生服务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535000.00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重大公共卫生服务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856773.80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856773.80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9172000.00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9172000.00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6723000.00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6723000.00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2449000.00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2449000.00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63411100.00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63411100.00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1571100.00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1571100.00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1571100.00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1571100.00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地方政府专项债务付息支出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61840000.00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61840000.00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2320498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其他地方自行试点项目收益专项债券付息支出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61840000.00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61840000.00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天津市第一中心医院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238004388.56</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61840000.00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1000000.00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1000000.00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235433288.56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235433288.56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63411100.00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1571100.00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61840000.00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299844388.56</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299844388.56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238004388.56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61840000.00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299844388.56</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299844388.56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238004388.56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61840000.00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天津市第一中心医院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238004388.56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67114000.00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66072000.00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1042000.00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170890388.56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人力资源和社会保障管理事务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引进人才费用</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235433288.56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67114000.00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66072000.00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168319288.56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公立医院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224869514.76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57942000.00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56900000.00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166927514.76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综合医院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224869514.76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57942000.00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56900000.00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166927514.76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1391773.80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1391773.80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基本公共卫生服务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535000.00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重大公共卫生服务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856773.80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856773.80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9172000.00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9172000.00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9172000.00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6723000.00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6723000.00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6723000.00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2449000.00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2449000.00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2449000.00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1571100.00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1571100.00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1571100.00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1571100.00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1571100.00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1571100.00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天津市第一中心医院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61594000.00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1042000.00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34824000.00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17150000.00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9172000.00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4478000.00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4478000.00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1042000.00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66072000.00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1042000.00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天津市第一中心医院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61840000.00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61840000.00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61840000.00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地方政府专项债务付息支出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其他地方自行试点项目收益专项债券付息支出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天津市第一中心医院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天津市第一中心医院2025年度国有资本经营预算财政拨款收入支出决算表为空表。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天津市第一中心医院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天津市第一中心医院2025年财政拨款“三公”经费支出决算表为空表。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天津市第一中心医院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2343090904.43</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170890388.56</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61840000.00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2110360515.87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第二批卫生健康行业高层次人才选拔培养工程第一年度资助经费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2278679804.43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168319288.56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2110360515.87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2277288030.63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166927514.76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2110360515.87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综合医院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2277288030.63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166927514.76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2110360515.87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紧缺人才培训（癌症早诊人员培训）-01直达资金-2024年医疗服务与保障能力提升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180300.00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180300.00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紧缺人才培训（癌症早诊人员培训）-01直达资金-2024年医疗服务与保障能力提升（第二批）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紧缺人才培训（癌症早诊人员培训）（2025年中央医疗服务与保障能力提升）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364174.35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364174.35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紧缺人才培训（癌症早诊人员培训）——2025年第二批中央医疗服务与保障能力提升（卫生健康人才培养）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9976.70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9976.70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紧缺人才培训（临床药师培训）-01直达资金-2024年医疗服务与保障能力提升（第二批）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140700.00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140700.00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紧缺人才培训（临床药师培养）——2025年第二批中央医疗服务与保障能力提升（卫生健康人才培养）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80117.64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80117.64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危重孕产妇救治中心建设-01直达资金-2024年医疗服务与保障能力提升（第四批）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住院医师规范化培训-01直达资金-2024年医疗服务与保障能力提升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705900.00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705900.00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7220000.00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7220000.00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1279890.00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1279890.00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天津市第一中心医院国家重大传染病防治基地建设项目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1952300.00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1952300.00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中医药事业创新发展（2025年市级）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第二批患者救治费用（2025市级）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3119000.00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3119000.00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遏制微生物耐药管理（2025年市级）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卫生健康系统对口支援帮扶（2025年市级）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546750.00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546750.00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天津市医学重点学科建设（2025年市级）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天津市临床重点专科建设（2025年市级）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患者救治费用(2025年市级）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国家临床重点专科能力建设（2025年中央医疗服务与保障能力提升）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3480236.39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3480236.39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紧缺人才培训（临床药师（药师岗位培训））（2025年中央医疗服务与保障能力提升）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妇女儿童键康提升计划(2025年市级残保金)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公立医院综合改革（2025年中央医疗服务与保障能力提升）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精神卫生服务能力提升（睡眠门诊）——2025年第二批中央医疗服务与保障能力提升（医疗卫生机构能力建设）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卫生健康质控中心管理（2025年市级）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天津市第一中心医院复康院区提升改造项目（2025年中央预算内投资）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105216816.90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105216816.90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天津市第一中心医院专科学科能力建设（2025年一般债券）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专用药械设备购置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11952250.00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11952250.00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市第一中心医院检查及救治设施设备配置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2237000.00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2237000.00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传染病监测预警与应急指挥能力提升（传染病四大症候群监测）——2025年中央医疗服务与保障能力提升（机构和人才）（第二批）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2025年全国名老中医药专家传承工作室建设（2025年中央中医药事业传承与发展）（第二批）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71198.20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71198.20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紧缺人才培训（临床药师（药师上岗培训））——2025年第二批中央医疗服务与保障能力提升（卫生健康人才培养）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国家临床重点专科能力建设——2025年第二批中央医疗服务与保障能力提升（医疗卫生机构能力建设）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146504.58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146504.58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天津市第一中心医院新址增建项目（自筹经费）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1895644.50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1895644.50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天津市第一中心医院新址扩建项目（自筹经费）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58793512.27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58793512.27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天津市第一中心医院复康院区提升改造项目（自筹经费）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7130030.00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7130030.00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科教项目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23079300.68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23079300.68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自有项目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2019462028.42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2019462028.42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1391773.80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1391773.80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535000.00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535000.00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妇女儿童键康提升计划(2025年市级)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基本公共卫生服务-新划入项目-职业病防治（2025年）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856773.80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856773.80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精神卫生和慢性非传染性病防治（脑卒中筛查）（2024年中央重大传染病防控经费）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118400.00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118400.00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精神卫生和慢性非传染性病防治（脑卒中筛查）（2024年中央重大传染病防控经费-第二批）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211400.00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211400.00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精神卫生和慢性非传染性病防治（脑卒中高危人群筛查和干预）（2025年中央重大公共卫生服务）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363973.80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363973.80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重点传染病及健康危害因素监测（细菌性传染病监测（国家致病菌识别网））（2025年中央重大公共卫生服务）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重点传染病及健康危害因素监测（重点呼吸道传染病监测）(2025年中央重大公共卫生服务）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重点传染病及健康危害因素监测（新冠变异监测（本土变异监测））（2025年中央重大公共卫生服务）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63411100.00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1571100.00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1571100.00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1571100.00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1571100.00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1571100.00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一般债券-市第一中心医院新址开办建设（2025年一般债付息）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一般债券-天津市第一中心医院国家重大传染病防治基地建设项目（2025年一般债付息）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41100.00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41100.00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地方政府专项债务付息支出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专项债-天津市第一中心医院新址增扩建项目（2025年专项债付息）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61840000.00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天津市第一中心医院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4,452,628,994.59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增加501,009,712.55元，增长12.68%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双院区平稳运行，接诊量提升，门急诊人次和出院人数增加，医疗收入较上年增加4.45亿元，人员成本及药品耗材等支出相应增加；财政拨款如天津市第一中心医院复康院区提升改造项目、危重孕产妇建设、天津市医学重点学科等项目收入增加1.42亿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一般公共预算财政拨款收入238,004,388.56元、政府性基金预算财政拨款收入61,840,000.00元、事业收入3,831,883,340.22元、其他收入173,151,780.59元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社会保障和就业支出1,000,000.00元、卫生健康支出4,282,013,651.09元、债务付息支出63,411,100.00元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天津市第一中心医院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4,304,879,509.37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增加464,530,518.51元，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双院区平稳运行，接诊量提升，门急诊人次和出院人数增加，医疗收入较上年增加4.45亿元；财政拨款如天津市第一中心医院复康院区提升改造项目、危重孕产妇建设、天津市医学重点学科等项目收入增加1.42亿元</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一般公共预算财政拨款收入238,004,388.56元，占5.53%；政府性基金预算财政拨款收入61,840,000.00元，占1.44%；事业收入3,831,883,340.22元，占89.01%；其他收入173,151,780.59元，占4.02%</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天津市第一中心医院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4,346,424,751.09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增加516,106,318.30元，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双院区运行，接诊量提升，人员成本及药品耗材等费用相应增加，自有资金支出较上年增加4.55亿元。财政拨款如复康院区提升改造项目、危重孕产妇建设、天津市医学重点学科等项目支出增加1.42亿元</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基本支出2,003,333,846.66元，占46.09%；项目支出2,343,090,904.43元，占53.91%</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天津市第一中心医院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299,844,388.56</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增加150,997,834.35元，增长101.45%，</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2025年新增天津市第一中心医院复康院区提升改造项目、危重孕产妇救治中心建设项目、天津市医学重点学科建设项目等</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一般公共预算财政拨款238,004,388.56元、政府性基金预算财政拨款61,840,000.00元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社会保障和就业支出1,000,000.00元、卫生健康支出235,433,288.56元、债务付息支出63,411,100.00元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天津市第一中心医院2025年度一般公共预算财政拨款支出合计238,004,388.56元，占本年支出合计的5.48%。与2024年度相比，一般公共预算财政拨款支出</w:t>
      </w:r>
      <w:r>
        <w:rPr>
          <w:rFonts w:eastAsia="仿宋_GB2312" w:hint="eastAsia"/>
          <w:sz w:val="30"/>
          <w:szCs w:val="30"/>
          <w:highlight w:val="none"/>
          <w:lang w:val="en-US" w:eastAsia="zh-CN"/>
        </w:rPr>
        <w:t xml:space="preserve">增加152,477,834.35元</w:t>
      </w:r>
      <w:r>
        <w:rPr>
          <w:rFonts w:eastAsia="仿宋_GB2312" w:hint="eastAsia"/>
          <w:sz w:val="30"/>
          <w:szCs w:val="30"/>
          <w:highlight w:val="none"/>
          <w:lang w:val="en-US" w:eastAsia="zh-CN"/>
        </w:rPr>
        <w:t xml:space="preserve">，增长178.28%</w:t>
      </w:r>
      <w:r>
        <w:rPr>
          <w:rFonts w:eastAsia="仿宋_GB2312" w:hint="eastAsia"/>
          <w:sz w:val="30"/>
          <w:szCs w:val="30"/>
          <w:highlight w:val="none"/>
          <w:lang w:val="en-US" w:eastAsia="zh-CN"/>
        </w:rPr>
        <w:t xml:space="preserve">，主要原因是2025年新增天津市第一中心医院复康院区提升改造项目、危重孕产妇救治中心建设项目、天津市医学重点学科建设项目等支出。</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2025年度一般公共预算财政拨款支出238,004,388.56元，主要用于以下方面：</w:t>
      </w:r>
      <w:r>
        <w:rPr>
          <w:rFonts w:eastAsia="仿宋_GB2312" w:hint="eastAsia"/>
          <w:sz w:val="30"/>
          <w:szCs w:val="30"/>
          <w:highlight w:val="none"/>
        </w:rPr>
        <w:t xml:space="preserve">社会保障和就业支出（类）支出1,000,000.00元，占0.42%，卫生健康支出（类）支出235,433,288.56元，占98.92%，债务付息支出（类）支出1,571,100.00元，占0.66%</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2025年度一般公共预算财政拨款支出年初预算为114,759,800.00元，支出决算为238,004,388.56元</w:t>
      </w:r>
      <w:r>
        <w:rPr>
          <w:rFonts w:eastAsia="仿宋_GB2312" w:hint="eastAsia"/>
          <w:sz w:val="30"/>
          <w:szCs w:val="30"/>
          <w:highlight w:val="none"/>
          <w:lang w:val="en-US" w:eastAsia="zh-CN"/>
        </w:rPr>
        <w:t xml:space="preserve">，完成年初预算的207.39%</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人力资源和社会保障管理事务（款）引进人才费用（项）年初预算为0.00元，支出决算为1,000,000.00元，决算数大于年初预算数的主要原因是：年中追加“第二批卫生健康行业高层次人才选拔培养工程第一年度资助经费”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卫生健康支出（类）公立医院（款）综合医院（项）年初预算为102,328,900.00元，支出决算为224,869,514.76元，完成年初预算的219.75%，决算数大于年初预算数的主要原因是：年中追加专用药械设备购置项目、市第一中心医院检查及救治设施设备配置项目、天津市第一中心医院复康院区提升改造项目项目等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卫生健康支出（类）公共卫生（款）基本公共卫生服务（项）年初预算为535,000.00元，支出决算为535,000.00元，完成年初预算的100.00%，决算数与年初预算数持平的主要原因是：按照年初预算安排足额执行，资金全部支出到位。</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公共卫生（款）重大公共卫生服务（项）年初预算为1,152,800.00元，支出决算为856,773.80元，完成年初预算的74.32%，决算数小于年初预算数的主要原因是：脑卒中高危人群筛查和干预项目部分资金结转至2026年使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事业单位医疗（项）年初预算为6,723,000.00元，支出决算为6,723,000.00元，完成年初预算的100.00%，决算数与年初预算数持平的主要原因是：按照年初预算足额安排执行，资金全部支出到位。</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其他行政事业单位医疗支出（项）年初预算为2,449,000.00元，支出决算为2,449,000.00元，完成年初预算的100.00%，决算数与年初预算数持平的主要原因是：按照年初预算足额安排执行，资金全部支出到位。</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债务付息支出（类）地方政府一般债务付息支出（款）地方政府一般债券付息支出（项）年初预算为1,571,100.00元，支出决算为1,571,100.00元，完成年初预算的100.00%，决算数与年初预算数持平的主要原因是：按照年初预算足额安排执行，资金全部支出到位。</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天津市第一中心医院2025年度一般公共预算财政拨款基本支出合计67,114,000.00元，与2024年度相比</w:t>
      </w:r>
      <w:r>
        <w:rPr>
          <w:rFonts w:eastAsia="仿宋_GB2312" w:hint="eastAsia"/>
          <w:sz w:val="30"/>
          <w:szCs w:val="30"/>
          <w:highlight w:val="none"/>
          <w:lang w:val="en-US" w:eastAsia="zh-CN"/>
        </w:rPr>
        <w:t xml:space="preserve">减少1,432,000.00元，</w:t>
      </w:r>
      <w:r>
        <w:rPr>
          <w:rFonts w:eastAsia="仿宋_GB2312" w:hint="eastAsia"/>
          <w:sz w:val="30"/>
          <w:szCs w:val="30"/>
          <w:highlight w:val="none"/>
          <w:lang w:val="en-US" w:eastAsia="zh-CN"/>
        </w:rPr>
        <w:t xml:space="preserve">主要原因是财政基本拨款额度减少，本年基本支出随之下降。</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人员经费66,072,000.00元，主要包括</w:t>
      </w:r>
      <w:r>
        <w:rPr>
          <w:rFonts w:eastAsia="仿宋_GB2312" w:hint="eastAsia"/>
          <w:sz w:val="30"/>
          <w:szCs w:val="30"/>
          <w:highlight w:val="none"/>
          <w:lang w:val="en-US" w:eastAsia="zh-CN"/>
        </w:rPr>
        <w:t xml:space="preserve">机关事业单位基本养老保险缴费、职业年金缴费、职工基本医疗保险缴费、其他社会保障缴费、退休费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公用经费1,042,000.00元，主要包括</w:t>
      </w:r>
      <w:r>
        <w:rPr>
          <w:rFonts w:eastAsia="仿宋_GB2312" w:hint="eastAsia"/>
          <w:sz w:val="30"/>
          <w:szCs w:val="30"/>
          <w:highlight w:val="none"/>
          <w:lang w:val="en-US" w:eastAsia="zh-CN"/>
        </w:rPr>
        <w:t xml:space="preserve">福利费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天津市第一中心医院2025年度政府性基金预算财政拨款年初结转和结余0.00元，收入61,840,000.00元，支出61,840,000.00元，年末结转和结余0.00元。与2024年度相比，政府性基金预算财政拨款支出</w:t>
      </w:r>
      <w:r>
        <w:rPr>
          <w:rFonts w:eastAsia="仿宋_GB2312" w:hint="eastAsia"/>
          <w:sz w:val="30"/>
          <w:szCs w:val="30"/>
          <w:highlight w:val="none"/>
          <w:lang w:val="en-US" w:eastAsia="zh-CN"/>
        </w:rPr>
        <w:t xml:space="preserve">减少1,480,000.00元，</w:t>
      </w:r>
      <w:r>
        <w:rPr>
          <w:rFonts w:eastAsia="仿宋_GB2312" w:hint="eastAsia"/>
          <w:sz w:val="30"/>
          <w:szCs w:val="30"/>
          <w:highlight w:val="none"/>
          <w:lang w:val="en-US" w:eastAsia="zh-CN"/>
        </w:rPr>
        <w:t xml:space="preserve">下降2.34%，</w:t>
      </w:r>
      <w:r>
        <w:rPr>
          <w:rFonts w:eastAsia="仿宋_GB2312" w:hint="eastAsia"/>
          <w:sz w:val="30"/>
          <w:szCs w:val="30"/>
          <w:highlight w:val="none"/>
          <w:lang w:val="en-US" w:eastAsia="zh-CN"/>
        </w:rPr>
        <w:t xml:space="preserve">主要原因是2025年专项债利息为6184万元。</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2025年度政府性基金预算财政拨款支出61,840,000.00元，主要用于以下方面：</w:t>
      </w:r>
      <w:r>
        <w:rPr>
          <w:rFonts w:eastAsia="仿宋_GB2312" w:hint="eastAsia"/>
          <w:sz w:val="28"/>
          <w:szCs w:val="28"/>
          <w:highlight w:val="none"/>
        </w:rPr>
        <w:t xml:space="preserve">债务付息支出（类）支出61,840,000.00元，占100.00%</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2025年度政府性基金预算财政拨款支出年初预算为61,840,000.00元，支出决算为61,840,000.00元</w:t>
      </w:r>
      <w:r>
        <w:rPr>
          <w:rFonts w:eastAsia="仿宋_GB2312" w:hint="eastAsia"/>
          <w:sz w:val="30"/>
          <w:szCs w:val="30"/>
          <w:highlight w:val="none"/>
          <w:lang w:val="en-US" w:eastAsia="zh-CN"/>
        </w:rPr>
        <w:t xml:space="preserve">，完成年初预算的100.00%</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债务付息支出（类）地方政府专项债务付息支出（款）其他地方自行试点项目收益专项债券付息支出（项）年初预算为61,840,000.00元，支出决算为61,840,000.00元，完成年初预算的100.00%，决算数与年初预算数持平的主要原因是：2025年专项债利息为6184万元，全额用于支付利息。</w:t>
      </w:r>
    </w:p>
    <w:p>
      <w:pPr>
        <w:divId w:val="0"/>
        <w:spacing w:line="600" w:lineRule="exact"/>
        <w:ind w:firstLine="600"/>
        <w:rPr>
          <w:rFonts w:eastAsia="仿宋_GB2312" w:hint="eastAsia"/>
          <w:sz w:val="30"/>
          <w:szCs w:val="30"/>
          <w:highlight w:val="none"/>
          <w:lang w:val="en-US" w:eastAsia="zh-CN"/>
        </w:rPr>
      </w:pP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天津市第一中心医院2025年度无国有资本经营预算财政拨款收入、支出和结转结余。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0辆为机关事务管理局所有。</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天津市第一中心医院2025年度无机关运行经费。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第一中心医院2025年政府采购支出总额606,400,676.34元，其中：政府采购货物支出225,753,886.00元、政府采购工程支出5,787,267.00元、政府采购服务支出374,859,523.34元。授予中小企业合同金额230,704,428.00元，占政府采购支出总额的38.04%，其中：授予小微企业合同金额178,626,650.00元，占政府采购支出总额的29.46%；货物采购授予中小企业合同金额占货物支出金额的52.89%，工程采购授予中小企业合同金额占工程支出金额的100.00%，服务采购授予中小企业合同金额占服务支出金额的28.15%。</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截至2025年12月31日，天津市第一中心医院共有车辆25辆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特种专业技术用车3辆、其他用车22辆</w:t>
      </w:r>
      <w:r>
        <w:rPr>
          <w:rFonts w:eastAsia="仿宋_GB2312" w:hint="eastAsia"/>
          <w:sz w:val="30"/>
          <w:szCs w:val="30"/>
          <w:highlight w:val="none"/>
          <w:lang w:val="en-US" w:eastAsia="zh-CN"/>
        </w:rPr>
        <w:t xml:space="preserve">，其他用车主要包括救护车</w:t>
      </w:r>
      <w:r>
        <w:rPr>
          <w:rFonts w:eastAsia="仿宋_GB2312" w:hint="eastAsia"/>
          <w:sz w:val="30"/>
          <w:szCs w:val="30"/>
          <w:highlight w:val="none"/>
          <w:lang w:val="en-US" w:eastAsia="zh-CN"/>
        </w:rPr>
        <w:t xml:space="preserve">。单价100万元以上的设备312台（套）。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根据预算绩效管理要求,天津市第一中心医院已对22个2025年度市级项目开展绩效自评,涉及金额2288725500元,自评结果已随部门决算一并公开。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天津市第一中心医院不属于乡、镇、街级单位，不涉及公开2025年度教育、医疗卫生、社会保障和就业、住房保障、涉农补贴等民生支出情况。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84C277B2-C2C5-4A87-8768-2E2FF72BEEC3}"/>
    <w:embedBold r:id="rId2" w:subsetted="1" w:fontKey="{515D76E0-399C-4369-80E3-DE67DB2FEE35}"/>
  </w:font>
  <w:font w:name="Cambria">
    <w:panose1 w:val="02040503050406030204"/>
    <w:charset w:val="00"/>
    <w:family w:val="roman"/>
    <w:pitch w:val="default"/>
    <w:sig w:usb0="E00006FF" w:usb1="420024FF" w:usb2="02000000" w:usb3="00000000" w:csb0="2000019F" w:csb1="00000000"/>
    <w:embedRegular r:id="rId3" w:fontKey="{21079BCA-647F-4C03-9AB4-D859EC5D329C}"/>
  </w:font>
  <w:font w:name="Calibri">
    <w:panose1 w:val="020F0502020204030204"/>
    <w:charset w:val="00"/>
    <w:family w:val="swiss"/>
    <w:pitch w:val="default"/>
    <w:sig w:usb0="E4002EFF" w:usb1="C200247B" w:usb2="00000009" w:usb3="00000000" w:csb0="200001FF" w:csb1="00000000"/>
    <w:embedRegular r:id="rId4" w:fontKey="{660ED454-CDE5-4DB0-9C99-ED1EA003B584}"/>
  </w:font>
  <w:font w:name="黑体">
    <w:panose1 w:val="02010609060101010101"/>
    <w:charset w:val="FFFFFF86"/>
    <w:family w:val="auto"/>
    <w:pitch w:val="default"/>
    <w:sig w:usb0="800002BF" w:usb1="38CF7CFA" w:usb2="00000016" w:usb3="00000000" w:csb0="00040001" w:csb1="00000000"/>
    <w:embedRegular r:id="rId5" w:subsetted="1" w:fontKey="{A4AAD386-D611-4C99-B405-F541E5BC985F}"/>
    <w:embedBold r:id="rId6" w:subsetted="1" w:fontKey="{3F6333EB-522B-433D-B839-97107A567B5B}"/>
  </w:font>
  <w:font w:name="方正小标宋简体">
    <w:altName w:val="黑体"/>
    <w:panose1 w:val="02000000000000000000"/>
    <w:charset w:val="FFFFFF86"/>
    <w:family w:val="auto"/>
    <w:pitch w:val="default"/>
    <w:sig w:usb0="00000001" w:usb1="08000000" w:usb2="00000000" w:usb3="00000000" w:csb0="00040000" w:csb1="00000000"/>
    <w:embedRegular r:id="rId7" w:fontKey="{70D1BD6C-476C-47D5-B1A9-B5D7795EA14F}"/>
    <w:embedBold r:id="rId8" w:fontKey="{56FBAEDE-2F3B-422B-B409-7395678D43E2}"/>
  </w:font>
  <w:font w:name="仿宋">
    <w:panose1 w:val="02010609060101010101"/>
    <w:charset w:val="FFFFFF86"/>
    <w:family w:val="auto"/>
    <w:pitch w:val="default"/>
    <w:sig w:usb0="800002BF" w:usb1="38CF7CFA" w:usb2="00000016" w:usb3="00000000" w:csb0="00040001" w:csb1="00000000"/>
    <w:embedRegular r:id="rId9" w:subsetted="1" w:fontKey="{024519E5-31F5-4126-BBA2-A11CDABF66BB}"/>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B289E5E9-DAFB-4BF3-8013-D30C4057468E}"/>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1EFC5EE5-B136-45EC-98A0-8244E647D136}"/>
    <w:embedBold r:id="rId12" w:subsetted="1" w:fontKey="{819991E0-1A65-44A0-B7DB-58C349A71613}"/>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8</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28</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38</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41</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