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959B5">
      <w:pPr>
        <w:autoSpaceDE w:val="0"/>
        <w:autoSpaceDN w:val="0"/>
        <w:adjustRightInd w:val="0"/>
        <w:jc w:val="center"/>
        <w:rPr>
          <w:rFonts w:hint="eastAsia" w:ascii="Times New Roman" w:hAnsi="Times New Roman" w:eastAsia="方正小标宋简体" w:cs="方正小标宋简体"/>
          <w:kern w:val="0"/>
          <w:sz w:val="48"/>
          <w:szCs w:val="48"/>
          <w:highlight w:val="none"/>
          <w:lang w:val="zh-CN"/>
        </w:rPr>
      </w:pPr>
    </w:p>
    <w:p w14:paraId="5A902D9E">
      <w:pPr>
        <w:autoSpaceDE w:val="0"/>
        <w:autoSpaceDN w:val="0"/>
        <w:adjustRightInd w:val="0"/>
        <w:jc w:val="center"/>
        <w:rPr>
          <w:rFonts w:hint="eastAsia" w:ascii="Times New Roman" w:hAnsi="Times New Roman" w:eastAsia="方正小标宋简体" w:cs="方正小标宋简体"/>
          <w:kern w:val="0"/>
          <w:sz w:val="48"/>
          <w:szCs w:val="48"/>
          <w:highlight w:val="none"/>
          <w:lang w:val="zh-CN"/>
        </w:rPr>
      </w:pPr>
    </w:p>
    <w:p w14:paraId="06DD2867">
      <w:pPr>
        <w:autoSpaceDE w:val="0"/>
        <w:autoSpaceDN w:val="0"/>
        <w:adjustRightInd w:val="0"/>
        <w:jc w:val="center"/>
        <w:rPr>
          <w:rFonts w:hint="eastAsia" w:ascii="Times New Roman" w:hAnsi="Times New Roman" w:eastAsia="方正小标宋简体" w:cs="方正小标宋简体"/>
          <w:kern w:val="0"/>
          <w:sz w:val="48"/>
          <w:szCs w:val="48"/>
          <w:highlight w:val="none"/>
          <w:lang w:val="zh-CN"/>
        </w:rPr>
      </w:pPr>
    </w:p>
    <w:p w14:paraId="2F840887">
      <w:pPr>
        <w:autoSpaceDE w:val="0"/>
        <w:autoSpaceDN w:val="0"/>
        <w:adjustRightInd w:val="0"/>
        <w:jc w:val="center"/>
        <w:rPr>
          <w:rFonts w:hint="eastAsia" w:ascii="Times New Roman" w:hAnsi="Times New Roman" w:eastAsia="方正小标宋简体" w:cs="方正小标宋简体"/>
          <w:kern w:val="0"/>
          <w:sz w:val="48"/>
          <w:szCs w:val="48"/>
          <w:highlight w:val="none"/>
          <w:lang w:val="zh-CN"/>
        </w:rPr>
      </w:pPr>
    </w:p>
    <w:p w14:paraId="21D6F795">
      <w:pPr>
        <w:autoSpaceDE w:val="0"/>
        <w:autoSpaceDN w:val="0"/>
        <w:adjustRightInd w:val="0"/>
        <w:jc w:val="center"/>
        <w:rPr>
          <w:rFonts w:hint="eastAsia" w:ascii="Times New Roman" w:hAnsi="Times New Roman" w:eastAsia="方正小标宋简体" w:cs="方正小标宋简体"/>
          <w:kern w:val="0"/>
          <w:sz w:val="48"/>
          <w:szCs w:val="48"/>
          <w:highlight w:val="none"/>
          <w:lang w:val="zh-CN"/>
        </w:rPr>
      </w:pPr>
    </w:p>
    <w:p w14:paraId="56DAFB79">
      <w:pPr>
        <w:autoSpaceDE w:val="0"/>
        <w:autoSpaceDN w:val="0"/>
        <w:adjustRightInd w:val="0"/>
        <w:jc w:val="center"/>
        <w:rPr>
          <w:rFonts w:hint="eastAsia" w:ascii="Times New Roman" w:hAnsi="Times New Roman" w:eastAsia="方正小标宋简体" w:cs="方正小标宋简体"/>
          <w:kern w:val="0"/>
          <w:sz w:val="48"/>
          <w:szCs w:val="48"/>
          <w:highlight w:val="none"/>
          <w:lang w:val="zh-CN"/>
        </w:rPr>
      </w:pPr>
    </w:p>
    <w:p w14:paraId="7573DE43">
      <w:pPr>
        <w:autoSpaceDE w:val="0"/>
        <w:autoSpaceDN w:val="0"/>
        <w:adjustRightInd w:val="0"/>
        <w:jc w:val="center"/>
        <w:rPr>
          <w:rFonts w:hint="eastAsia" w:ascii="Times New Roman" w:hAnsi="Times New Roman" w:eastAsia="方正小标宋简体" w:cs="方正小标宋简体"/>
          <w:kern w:val="0"/>
          <w:sz w:val="48"/>
          <w:szCs w:val="48"/>
          <w:highlight w:val="none"/>
          <w:lang w:val="zh-CN"/>
        </w:rPr>
      </w:pPr>
    </w:p>
    <w:p w14:paraId="492E97CF">
      <w:pPr>
        <w:autoSpaceDE w:val="0"/>
        <w:autoSpaceDN w:val="0"/>
        <w:adjustRightInd w:val="0"/>
        <w:jc w:val="center"/>
        <w:rPr>
          <w:rFonts w:hint="eastAsia" w:ascii="Times New Roman" w:hAnsi="Times New Roman" w:eastAsia="方正小标宋简体" w:cs="方正小标宋简体"/>
          <w:kern w:val="0"/>
          <w:sz w:val="48"/>
          <w:szCs w:val="48"/>
          <w:highlight w:val="none"/>
          <w:lang w:val="zh-CN"/>
        </w:rPr>
      </w:pPr>
    </w:p>
    <w:p w14:paraId="780E4E2C">
      <w:pPr>
        <w:autoSpaceDE w:val="0"/>
        <w:autoSpaceDN w:val="0"/>
        <w:adjustRightInd w:val="0"/>
        <w:jc w:val="center"/>
        <w:rPr>
          <w:rFonts w:ascii="Times New Roman" w:hAnsi="Times New Roman" w:eastAsia="方正小标宋简体" w:cs="方正小标宋简体"/>
          <w:kern w:val="0"/>
          <w:sz w:val="48"/>
          <w:szCs w:val="48"/>
          <w:highlight w:val="none"/>
          <w:lang w:val="zh-CN"/>
        </w:rPr>
      </w:pPr>
      <w:r>
        <w:rPr>
          <w:rFonts w:hint="eastAsia" w:ascii="Times New Roman" w:hAnsi="Times New Roman" w:eastAsia="方正小标宋简体" w:cs="方正小标宋简体"/>
          <w:kern w:val="0"/>
          <w:sz w:val="48"/>
          <w:szCs w:val="48"/>
          <w:highlight w:val="none"/>
          <w:lang w:val="zh-CN"/>
        </w:rPr>
        <w:t>天津市第一中心医院2023年度部门决算</w:t>
      </w:r>
    </w:p>
    <w:p w14:paraId="6A754D54">
      <w:pPr>
        <w:autoSpaceDE w:val="0"/>
        <w:autoSpaceDN w:val="0"/>
        <w:adjustRightInd w:val="0"/>
        <w:spacing w:line="580" w:lineRule="exact"/>
        <w:jc w:val="center"/>
        <w:rPr>
          <w:rFonts w:ascii="Times New Roman" w:hAnsi="Times New Roman" w:eastAsia="黑体" w:cs="黑体"/>
          <w:sz w:val="30"/>
          <w:szCs w:val="30"/>
          <w:highlight w:val="none"/>
        </w:rPr>
      </w:pPr>
    </w:p>
    <w:p w14:paraId="4BB8304C">
      <w:pPr>
        <w:autoSpaceDE w:val="0"/>
        <w:autoSpaceDN w:val="0"/>
        <w:adjustRightInd w:val="0"/>
        <w:spacing w:line="580" w:lineRule="exact"/>
        <w:jc w:val="center"/>
        <w:rPr>
          <w:rFonts w:ascii="Times New Roman" w:hAnsi="Times New Roman" w:eastAsia="黑体" w:cs="黑体"/>
          <w:sz w:val="30"/>
          <w:szCs w:val="30"/>
          <w:highlight w:val="none"/>
        </w:rPr>
      </w:pPr>
    </w:p>
    <w:p w14:paraId="54862416">
      <w:pPr>
        <w:autoSpaceDE w:val="0"/>
        <w:autoSpaceDN w:val="0"/>
        <w:adjustRightInd w:val="0"/>
        <w:spacing w:line="580" w:lineRule="exact"/>
        <w:jc w:val="center"/>
        <w:rPr>
          <w:rFonts w:ascii="Times New Roman" w:hAnsi="Times New Roman" w:eastAsia="黑体" w:cs="黑体"/>
          <w:sz w:val="30"/>
          <w:szCs w:val="30"/>
          <w:highlight w:val="none"/>
        </w:rPr>
      </w:pPr>
    </w:p>
    <w:p w14:paraId="51572863">
      <w:pPr>
        <w:autoSpaceDE w:val="0"/>
        <w:autoSpaceDN w:val="0"/>
        <w:adjustRightInd w:val="0"/>
        <w:spacing w:line="580" w:lineRule="exact"/>
        <w:jc w:val="center"/>
        <w:rPr>
          <w:rFonts w:ascii="Times New Roman" w:hAnsi="Times New Roman" w:eastAsia="黑体" w:cs="黑体"/>
          <w:sz w:val="30"/>
          <w:szCs w:val="30"/>
          <w:highlight w:val="none"/>
        </w:rPr>
      </w:pPr>
    </w:p>
    <w:p w14:paraId="0484D5AB">
      <w:pPr>
        <w:autoSpaceDE w:val="0"/>
        <w:autoSpaceDN w:val="0"/>
        <w:adjustRightInd w:val="0"/>
        <w:spacing w:line="580" w:lineRule="exact"/>
        <w:jc w:val="center"/>
        <w:rPr>
          <w:rFonts w:ascii="Times New Roman" w:hAnsi="Times New Roman" w:eastAsia="黑体" w:cs="黑体"/>
          <w:sz w:val="30"/>
          <w:szCs w:val="30"/>
          <w:highlight w:val="none"/>
        </w:rPr>
      </w:pPr>
    </w:p>
    <w:p w14:paraId="3B48824D">
      <w:pPr>
        <w:autoSpaceDE w:val="0"/>
        <w:autoSpaceDN w:val="0"/>
        <w:adjustRightInd w:val="0"/>
        <w:spacing w:line="600" w:lineRule="exact"/>
        <w:jc w:val="center"/>
        <w:rPr>
          <w:rFonts w:ascii="Times New Roman" w:hAnsi="Times New Roman" w:eastAsia="黑体" w:cs="黑体"/>
          <w:kern w:val="0"/>
          <w:sz w:val="44"/>
          <w:szCs w:val="44"/>
          <w:highlight w:val="none"/>
        </w:rPr>
      </w:pPr>
      <w:r>
        <w:rPr>
          <w:rFonts w:ascii="Times New Roman" w:hAnsi="Times New Roman" w:eastAsia="黑体" w:cs="黑体"/>
          <w:sz w:val="30"/>
          <w:szCs w:val="30"/>
          <w:highlight w:val="none"/>
        </w:rPr>
        <w:br w:type="page"/>
      </w:r>
    </w:p>
    <w:p w14:paraId="772E1F53">
      <w:pPr>
        <w:autoSpaceDE w:val="0"/>
        <w:autoSpaceDN w:val="0"/>
        <w:adjustRightInd w:val="0"/>
        <w:spacing w:line="600" w:lineRule="exact"/>
        <w:jc w:val="center"/>
        <w:rPr>
          <w:rFonts w:ascii="Times New Roman" w:hAnsi="Times New Roman" w:eastAsia="黑体" w:cs="黑体"/>
          <w:kern w:val="0"/>
          <w:sz w:val="44"/>
          <w:szCs w:val="44"/>
          <w:highlight w:val="none"/>
        </w:rPr>
      </w:pPr>
      <w:r>
        <w:rPr>
          <w:rFonts w:hint="eastAsia" w:ascii="Times New Roman" w:hAnsi="Times New Roman" w:eastAsia="黑体" w:cs="黑体"/>
          <w:kern w:val="0"/>
          <w:sz w:val="44"/>
          <w:szCs w:val="44"/>
          <w:highlight w:val="none"/>
        </w:rPr>
        <w:t>目</w:t>
      </w:r>
      <w:r>
        <w:rPr>
          <w:rFonts w:hint="eastAsia" w:ascii="Times New Roman" w:hAnsi="Times New Roman" w:eastAsia="黑体" w:cs="黑体"/>
          <w:kern w:val="0"/>
          <w:sz w:val="44"/>
          <w:szCs w:val="44"/>
          <w:highlight w:val="none"/>
          <w:lang w:val="en-US" w:eastAsia="zh-CN"/>
        </w:rPr>
        <w:t xml:space="preserve">   </w:t>
      </w:r>
      <w:r>
        <w:rPr>
          <w:rFonts w:hint="eastAsia" w:ascii="Times New Roman" w:hAnsi="Times New Roman" w:eastAsia="黑体" w:cs="黑体"/>
          <w:kern w:val="0"/>
          <w:sz w:val="44"/>
          <w:szCs w:val="44"/>
          <w:highlight w:val="none"/>
        </w:rPr>
        <w:t>录</w:t>
      </w:r>
    </w:p>
    <w:p w14:paraId="7B20AEEE">
      <w:pPr>
        <w:autoSpaceDE w:val="0"/>
        <w:autoSpaceDN w:val="0"/>
        <w:adjustRightInd w:val="0"/>
        <w:spacing w:line="600" w:lineRule="exact"/>
        <w:jc w:val="left"/>
        <w:rPr>
          <w:rFonts w:ascii="Times New Roman" w:hAnsi="Times New Roman" w:eastAsia="黑体" w:cs="黑体"/>
          <w:kern w:val="0"/>
          <w:sz w:val="30"/>
          <w:szCs w:val="30"/>
          <w:highlight w:val="none"/>
        </w:rPr>
      </w:pPr>
    </w:p>
    <w:p w14:paraId="648491A3">
      <w:pPr>
        <w:tabs>
          <w:tab w:val="right" w:leader="dot" w:pos="8306"/>
        </w:tabs>
        <w:autoSpaceDE w:val="0"/>
        <w:autoSpaceDN w:val="0"/>
        <w:adjustRightInd w:val="0"/>
        <w:spacing w:line="700" w:lineRule="exact"/>
        <w:jc w:val="left"/>
        <w:rPr>
          <w:rFonts w:ascii="Times New Roman" w:hAnsi="Times New Roman" w:eastAsia="方正小标宋简体" w:cs="Times New Roman"/>
          <w:kern w:val="0"/>
          <w:sz w:val="30"/>
          <w:szCs w:val="30"/>
          <w:highlight w:val="none"/>
        </w:rPr>
      </w:pPr>
      <w:r>
        <w:rPr>
          <w:rFonts w:hint="eastAsia" w:ascii="Times New Roman" w:hAnsi="Times New Roman" w:eastAsia="方正小标宋简体" w:cs="方正小标宋简体"/>
          <w:kern w:val="0"/>
          <w:sz w:val="30"/>
          <w:szCs w:val="30"/>
          <w:highlight w:val="none"/>
        </w:rPr>
        <w:t>第一部分</w:t>
      </w:r>
      <w:r>
        <w:rPr>
          <w:rFonts w:hint="eastAsia" w:ascii="Times New Roman" w:hAnsi="Times New Roman" w:eastAsia="方正小标宋简体" w:cs="方正小标宋简体"/>
          <w:kern w:val="0"/>
          <w:sz w:val="30"/>
          <w:szCs w:val="30"/>
          <w:highlight w:val="none"/>
          <w:lang w:val="en-US" w:eastAsia="zh-CN"/>
        </w:rPr>
        <w:t xml:space="preserve">  </w:t>
      </w:r>
      <w:r>
        <w:rPr>
          <w:rFonts w:hint="eastAsia" w:ascii="Times New Roman" w:hAnsi="Times New Roman" w:eastAsia="方正小标宋简体" w:cs="方正小标宋简体"/>
          <w:kern w:val="0"/>
          <w:sz w:val="30"/>
          <w:szCs w:val="30"/>
          <w:highlight w:val="none"/>
        </w:rPr>
        <w:t>概</w:t>
      </w:r>
      <w:r>
        <w:rPr>
          <w:rFonts w:hint="eastAsia" w:ascii="Times New Roman" w:hAnsi="Times New Roman" w:eastAsia="方正小标宋简体" w:cs="方正小标宋简体"/>
          <w:kern w:val="0"/>
          <w:sz w:val="30"/>
          <w:szCs w:val="30"/>
          <w:highlight w:val="none"/>
          <w:lang w:val="en-US" w:eastAsia="zh-CN"/>
        </w:rPr>
        <w:t xml:space="preserve"> </w:t>
      </w:r>
      <w:r>
        <w:rPr>
          <w:rFonts w:hint="eastAsia" w:ascii="Times New Roman" w:hAnsi="Times New Roman" w:eastAsia="方正小标宋简体" w:cs="方正小标宋简体"/>
          <w:kern w:val="0"/>
          <w:sz w:val="30"/>
          <w:szCs w:val="30"/>
          <w:highlight w:val="none"/>
        </w:rPr>
        <w:t>况</w:t>
      </w:r>
    </w:p>
    <w:p w14:paraId="4AC65F17">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一、主要职责</w:t>
      </w:r>
    </w:p>
    <w:p w14:paraId="7F0D79DF">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二、机构设置</w:t>
      </w:r>
    </w:p>
    <w:p w14:paraId="3D05EF8E">
      <w:pPr>
        <w:tabs>
          <w:tab w:val="right" w:leader="dot" w:pos="8306"/>
        </w:tabs>
        <w:autoSpaceDE w:val="0"/>
        <w:autoSpaceDN w:val="0"/>
        <w:adjustRightInd w:val="0"/>
        <w:spacing w:line="700" w:lineRule="exact"/>
        <w:jc w:val="left"/>
        <w:rPr>
          <w:rFonts w:ascii="Times New Roman" w:hAnsi="Times New Roman" w:eastAsia="方正小标宋简体" w:cs="Times New Roman"/>
          <w:kern w:val="0"/>
          <w:sz w:val="30"/>
          <w:szCs w:val="30"/>
          <w:highlight w:val="none"/>
        </w:rPr>
      </w:pPr>
      <w:r>
        <w:rPr>
          <w:rFonts w:hint="eastAsia" w:ascii="Times New Roman" w:hAnsi="Times New Roman" w:eastAsia="方正小标宋简体" w:cs="方正小标宋简体"/>
          <w:kern w:val="0"/>
          <w:sz w:val="30"/>
          <w:szCs w:val="30"/>
          <w:highlight w:val="none"/>
        </w:rPr>
        <w:t>第二部分</w:t>
      </w:r>
      <w:r>
        <w:rPr>
          <w:rFonts w:hint="eastAsia" w:ascii="Times New Roman" w:hAnsi="Times New Roman" w:eastAsia="方正小标宋简体" w:cs="方正小标宋简体"/>
          <w:kern w:val="0"/>
          <w:sz w:val="30"/>
          <w:szCs w:val="30"/>
          <w:highlight w:val="none"/>
          <w:lang w:val="en-US" w:eastAsia="zh-CN"/>
        </w:rPr>
        <w:t xml:space="preserve">  </w:t>
      </w:r>
      <w:r>
        <w:rPr>
          <w:rFonts w:hint="eastAsia" w:ascii="Times New Roman" w:hAnsi="Times New Roman" w:eastAsia="方正小标宋简体" w:cs="方正小标宋简体"/>
          <w:kern w:val="0"/>
          <w:sz w:val="30"/>
          <w:szCs w:val="30"/>
          <w:highlight w:val="none"/>
          <w:lang w:eastAsia="zh-CN"/>
        </w:rPr>
        <w:t>2023</w:t>
      </w:r>
      <w:r>
        <w:rPr>
          <w:rFonts w:hint="eastAsia" w:ascii="Times New Roman" w:hAnsi="Times New Roman" w:eastAsia="方正小标宋简体" w:cs="方正小标宋简体"/>
          <w:kern w:val="0"/>
          <w:sz w:val="30"/>
          <w:szCs w:val="30"/>
          <w:highlight w:val="none"/>
        </w:rPr>
        <w:t>年度部门决算表</w:t>
      </w:r>
    </w:p>
    <w:p w14:paraId="6052121D">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一、收入支出决算总表</w:t>
      </w:r>
    </w:p>
    <w:p w14:paraId="155D0524">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二、收入决算表（按功能分类列示）</w:t>
      </w:r>
    </w:p>
    <w:p w14:paraId="378882DA">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三、收入决算表（按单位列示）</w:t>
      </w:r>
    </w:p>
    <w:p w14:paraId="5CCF5555">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四、支出决算表</w:t>
      </w:r>
    </w:p>
    <w:p w14:paraId="474D2443">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五、财政拨款收入支出决算总表</w:t>
      </w:r>
    </w:p>
    <w:p w14:paraId="45747D26">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六、一般公共预算财政拨款支出决算表</w:t>
      </w:r>
    </w:p>
    <w:p w14:paraId="7F91E75E">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七、一般公共预算财政拨款基本支出决算表</w:t>
      </w:r>
    </w:p>
    <w:p w14:paraId="74E0B5E9">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八、政府性基金预算财政拨款收入支出决算表</w:t>
      </w:r>
    </w:p>
    <w:p w14:paraId="276CB623">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九、国有资本经营预算财政拨款收入支出决算表</w:t>
      </w:r>
    </w:p>
    <w:p w14:paraId="1346FB89">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十、财政拨款</w:t>
      </w:r>
      <w:r>
        <w:rPr>
          <w:rFonts w:ascii="Times New Roman" w:hAnsi="Times New Roman" w:eastAsia="仿宋_GB2312" w:cs="仿宋_GB2312"/>
          <w:kern w:val="0"/>
          <w:sz w:val="30"/>
          <w:szCs w:val="30"/>
          <w:highlight w:val="none"/>
        </w:rPr>
        <w:t>“</w:t>
      </w:r>
      <w:r>
        <w:rPr>
          <w:rFonts w:hint="eastAsia" w:ascii="Times New Roman" w:hAnsi="Times New Roman" w:eastAsia="仿宋_GB2312" w:cs="仿宋_GB2312"/>
          <w:kern w:val="0"/>
          <w:sz w:val="30"/>
          <w:szCs w:val="30"/>
          <w:highlight w:val="none"/>
        </w:rPr>
        <w:t>三公</w:t>
      </w:r>
      <w:r>
        <w:rPr>
          <w:rFonts w:ascii="Times New Roman" w:hAnsi="Times New Roman" w:eastAsia="仿宋_GB2312" w:cs="仿宋_GB2312"/>
          <w:kern w:val="0"/>
          <w:sz w:val="30"/>
          <w:szCs w:val="30"/>
          <w:highlight w:val="none"/>
        </w:rPr>
        <w:t>”</w:t>
      </w:r>
      <w:r>
        <w:rPr>
          <w:rFonts w:hint="eastAsia" w:ascii="Times New Roman" w:hAnsi="Times New Roman" w:eastAsia="仿宋_GB2312" w:cs="仿宋_GB2312"/>
          <w:kern w:val="0"/>
          <w:sz w:val="30"/>
          <w:szCs w:val="30"/>
          <w:highlight w:val="none"/>
        </w:rPr>
        <w:t>经费支出决算表</w:t>
      </w:r>
    </w:p>
    <w:p w14:paraId="62311C61">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十一、项目支出决算表</w:t>
      </w:r>
    </w:p>
    <w:p w14:paraId="307F626B">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十二、关于空表的说明</w:t>
      </w:r>
    </w:p>
    <w:p w14:paraId="3505E094">
      <w:pPr>
        <w:tabs>
          <w:tab w:val="right" w:leader="dot" w:pos="8306"/>
        </w:tabs>
        <w:autoSpaceDE w:val="0"/>
        <w:autoSpaceDN w:val="0"/>
        <w:adjustRightInd w:val="0"/>
        <w:spacing w:line="700" w:lineRule="exact"/>
        <w:jc w:val="left"/>
        <w:rPr>
          <w:rFonts w:ascii="Times New Roman" w:hAnsi="Times New Roman" w:eastAsia="方正小标宋简体" w:cs="Times New Roman"/>
          <w:kern w:val="0"/>
          <w:sz w:val="30"/>
          <w:szCs w:val="30"/>
          <w:highlight w:val="none"/>
        </w:rPr>
      </w:pPr>
      <w:r>
        <w:rPr>
          <w:rFonts w:hint="eastAsia" w:ascii="Times New Roman" w:hAnsi="Times New Roman" w:eastAsia="方正小标宋简体" w:cs="方正小标宋简体"/>
          <w:kern w:val="0"/>
          <w:sz w:val="30"/>
          <w:szCs w:val="30"/>
          <w:highlight w:val="none"/>
        </w:rPr>
        <w:t>第三部分</w:t>
      </w:r>
      <w:r>
        <w:rPr>
          <w:rFonts w:hint="eastAsia" w:ascii="Times New Roman" w:hAnsi="Times New Roman" w:eastAsia="方正小标宋简体" w:cs="方正小标宋简体"/>
          <w:kern w:val="0"/>
          <w:sz w:val="30"/>
          <w:szCs w:val="30"/>
          <w:highlight w:val="none"/>
          <w:lang w:val="en-US" w:eastAsia="zh-CN"/>
        </w:rPr>
        <w:t xml:space="preserve">  </w:t>
      </w:r>
      <w:r>
        <w:rPr>
          <w:rFonts w:hint="eastAsia" w:ascii="Times New Roman" w:hAnsi="Times New Roman" w:eastAsia="方正小标宋简体" w:cs="方正小标宋简体"/>
          <w:kern w:val="0"/>
          <w:sz w:val="30"/>
          <w:szCs w:val="30"/>
          <w:highlight w:val="none"/>
          <w:lang w:eastAsia="zh-CN"/>
        </w:rPr>
        <w:t>2023</w:t>
      </w:r>
      <w:r>
        <w:rPr>
          <w:rFonts w:hint="eastAsia" w:ascii="Times New Roman" w:hAnsi="Times New Roman" w:eastAsia="方正小标宋简体" w:cs="方正小标宋简体"/>
          <w:kern w:val="0"/>
          <w:sz w:val="30"/>
          <w:szCs w:val="30"/>
          <w:highlight w:val="none"/>
        </w:rPr>
        <w:t>年度部门决算情况说明</w:t>
      </w:r>
    </w:p>
    <w:p w14:paraId="162011E0">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一、收支决算总体情况说明</w:t>
      </w:r>
    </w:p>
    <w:p w14:paraId="4F4743C9">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二、收入决算情况说明</w:t>
      </w:r>
    </w:p>
    <w:p w14:paraId="77A0B839">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三、支出决算情况说明</w:t>
      </w:r>
    </w:p>
    <w:p w14:paraId="696268D7">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四、财政拨款收支决算总体情况说明</w:t>
      </w:r>
    </w:p>
    <w:p w14:paraId="7E0786E4">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五、一般公共预算财政拨款支出决算情况说明</w:t>
      </w:r>
    </w:p>
    <w:p w14:paraId="66D22E60">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六、一般公共预算财政拨款基本支出决算情况说明</w:t>
      </w:r>
    </w:p>
    <w:p w14:paraId="54059E5B">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七、政府性基金预算财政拨款收支决算情况说明</w:t>
      </w:r>
    </w:p>
    <w:p w14:paraId="21B20FAC">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八、国有资本经营预算财政拨款收支决算情况说明</w:t>
      </w:r>
    </w:p>
    <w:p w14:paraId="594C23F3">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九、财政拨款</w:t>
      </w:r>
      <w:r>
        <w:rPr>
          <w:rFonts w:ascii="Times New Roman" w:hAnsi="Times New Roman" w:eastAsia="仿宋_GB2312" w:cs="仿宋_GB2312"/>
          <w:kern w:val="0"/>
          <w:sz w:val="30"/>
          <w:szCs w:val="30"/>
          <w:highlight w:val="none"/>
        </w:rPr>
        <w:t>“</w:t>
      </w:r>
      <w:r>
        <w:rPr>
          <w:rFonts w:hint="eastAsia" w:ascii="Times New Roman" w:hAnsi="Times New Roman" w:eastAsia="仿宋_GB2312" w:cs="仿宋_GB2312"/>
          <w:kern w:val="0"/>
          <w:sz w:val="30"/>
          <w:szCs w:val="30"/>
          <w:highlight w:val="none"/>
        </w:rPr>
        <w:t>三公</w:t>
      </w:r>
      <w:r>
        <w:rPr>
          <w:rFonts w:ascii="Times New Roman" w:hAnsi="Times New Roman" w:eastAsia="仿宋_GB2312" w:cs="仿宋_GB2312"/>
          <w:kern w:val="0"/>
          <w:sz w:val="30"/>
          <w:szCs w:val="30"/>
          <w:highlight w:val="none"/>
        </w:rPr>
        <w:t>”</w:t>
      </w:r>
      <w:r>
        <w:rPr>
          <w:rFonts w:hint="eastAsia" w:ascii="Times New Roman" w:hAnsi="Times New Roman" w:eastAsia="仿宋_GB2312" w:cs="仿宋_GB2312"/>
          <w:kern w:val="0"/>
          <w:sz w:val="30"/>
          <w:szCs w:val="30"/>
          <w:highlight w:val="none"/>
        </w:rPr>
        <w:t>经费支出决算情况说明</w:t>
      </w:r>
    </w:p>
    <w:p w14:paraId="496CD13C">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十、机关运行经费支出情况说明</w:t>
      </w:r>
    </w:p>
    <w:p w14:paraId="71E61FE0">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十一、政府采购支出情况说明</w:t>
      </w:r>
    </w:p>
    <w:p w14:paraId="39AD59F5">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十二、国有资产占有使用情况说明</w:t>
      </w:r>
    </w:p>
    <w:p w14:paraId="771CE109">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十三、预算绩效情况说明</w:t>
      </w:r>
    </w:p>
    <w:p w14:paraId="289BF8C9">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highlight w:val="none"/>
          <w:lang w:val="en"/>
        </w:rPr>
      </w:pPr>
      <w:r>
        <w:rPr>
          <w:rFonts w:hint="eastAsia" w:ascii="Times New Roman" w:hAnsi="Times New Roman" w:eastAsia="仿宋_GB2312" w:cs="仿宋_GB2312"/>
          <w:kern w:val="0"/>
          <w:sz w:val="30"/>
          <w:szCs w:val="30"/>
          <w:highlight w:val="none"/>
        </w:rPr>
        <w:t>十四、教育、医疗卫生、社会保障和就业、住房保障、涉农补贴等民生支出情况说明</w:t>
      </w:r>
    </w:p>
    <w:p w14:paraId="3EFA1AFB">
      <w:pPr>
        <w:tabs>
          <w:tab w:val="right" w:leader="dot" w:pos="8306"/>
        </w:tabs>
        <w:autoSpaceDE w:val="0"/>
        <w:autoSpaceDN w:val="0"/>
        <w:adjustRightInd w:val="0"/>
        <w:spacing w:line="700" w:lineRule="exact"/>
        <w:jc w:val="left"/>
        <w:rPr>
          <w:rFonts w:ascii="Times New Roman" w:hAnsi="Times New Roman" w:eastAsia="方正小标宋简体" w:cs="Times New Roman"/>
          <w:kern w:val="0"/>
          <w:sz w:val="30"/>
          <w:szCs w:val="30"/>
          <w:highlight w:val="none"/>
          <w:lang w:val="en"/>
        </w:rPr>
      </w:pPr>
      <w:r>
        <w:rPr>
          <w:rFonts w:hint="eastAsia" w:ascii="Times New Roman" w:hAnsi="Times New Roman" w:eastAsia="方正小标宋简体" w:cs="方正小标宋简体"/>
          <w:kern w:val="0"/>
          <w:sz w:val="30"/>
          <w:szCs w:val="30"/>
          <w:highlight w:val="none"/>
          <w:lang w:val="en"/>
        </w:rPr>
        <w:t>第四部分</w:t>
      </w:r>
      <w:r>
        <w:rPr>
          <w:rFonts w:hint="eastAsia" w:ascii="Times New Roman" w:hAnsi="Times New Roman" w:eastAsia="方正小标宋简体" w:cs="方正小标宋简体"/>
          <w:kern w:val="0"/>
          <w:sz w:val="30"/>
          <w:szCs w:val="30"/>
          <w:highlight w:val="none"/>
          <w:lang w:val="en-US" w:eastAsia="zh-CN"/>
        </w:rPr>
        <w:t xml:space="preserve">  </w:t>
      </w:r>
      <w:r>
        <w:rPr>
          <w:rFonts w:hint="eastAsia" w:ascii="Times New Roman" w:hAnsi="Times New Roman" w:eastAsia="方正小标宋简体" w:cs="方正小标宋简体"/>
          <w:kern w:val="0"/>
          <w:sz w:val="30"/>
          <w:szCs w:val="30"/>
          <w:highlight w:val="none"/>
          <w:lang w:val="en"/>
        </w:rPr>
        <w:t>名词解释</w:t>
      </w:r>
    </w:p>
    <w:p w14:paraId="29996603">
      <w:pPr>
        <w:autoSpaceDE w:val="0"/>
        <w:autoSpaceDN w:val="0"/>
        <w:adjustRightInd w:val="0"/>
        <w:spacing w:line="700" w:lineRule="exact"/>
        <w:jc w:val="left"/>
        <w:rPr>
          <w:rFonts w:ascii="Times New Roman" w:hAnsi="Times New Roman" w:eastAsia="黑体" w:cs="黑体"/>
          <w:sz w:val="30"/>
          <w:szCs w:val="30"/>
          <w:highlight w:val="none"/>
          <w:lang w:val="zh-CN"/>
        </w:rPr>
      </w:pPr>
      <w:r>
        <w:rPr>
          <w:rFonts w:ascii="Times New Roman" w:hAnsi="Times New Roman" w:eastAsia="黑体" w:cs="黑体"/>
          <w:sz w:val="30"/>
          <w:szCs w:val="30"/>
          <w:highlight w:val="none"/>
          <w:lang w:val="zh-CN"/>
        </w:rPr>
        <w:br w:type="page"/>
      </w:r>
    </w:p>
    <w:p w14:paraId="1E2F1633">
      <w:pPr>
        <w:keepNext/>
        <w:keepLines/>
        <w:autoSpaceDE w:val="0"/>
        <w:autoSpaceDN w:val="0"/>
        <w:adjustRightInd w:val="0"/>
        <w:spacing w:line="600" w:lineRule="exact"/>
        <w:jc w:val="center"/>
        <w:outlineLvl w:val="0"/>
        <w:rPr>
          <w:rFonts w:ascii="Times New Roman" w:hAnsi="Times New Roman" w:eastAsia="方正小标宋简体" w:cs="方正小标宋简体"/>
          <w:kern w:val="44"/>
          <w:sz w:val="44"/>
          <w:szCs w:val="44"/>
          <w:highlight w:val="none"/>
        </w:rPr>
      </w:pPr>
      <w:r>
        <w:rPr>
          <w:rFonts w:hint="eastAsia" w:ascii="Times New Roman" w:hAnsi="Times New Roman" w:eastAsia="方正小标宋简体" w:cs="方正小标宋简体"/>
          <w:kern w:val="44"/>
          <w:sz w:val="44"/>
          <w:szCs w:val="44"/>
          <w:highlight w:val="none"/>
        </w:rPr>
        <w:t>第一部分</w:t>
      </w:r>
      <w:r>
        <w:rPr>
          <w:rFonts w:hint="eastAsia" w:ascii="Times New Roman" w:hAnsi="Times New Roman" w:eastAsia="方正小标宋简体" w:cs="方正小标宋简体"/>
          <w:kern w:val="44"/>
          <w:sz w:val="44"/>
          <w:szCs w:val="44"/>
          <w:highlight w:val="none"/>
          <w:lang w:val="en-US" w:eastAsia="zh-CN"/>
        </w:rPr>
        <w:t xml:space="preserve">  </w:t>
      </w:r>
      <w:r>
        <w:rPr>
          <w:rFonts w:hint="eastAsia" w:ascii="Times New Roman" w:hAnsi="Times New Roman" w:eastAsia="方正小标宋简体" w:cs="方正小标宋简体"/>
          <w:kern w:val="44"/>
          <w:sz w:val="44"/>
          <w:szCs w:val="44"/>
          <w:highlight w:val="none"/>
        </w:rPr>
        <w:t>概</w:t>
      </w:r>
      <w:r>
        <w:rPr>
          <w:rFonts w:hint="eastAsia" w:ascii="Times New Roman" w:hAnsi="Times New Roman" w:eastAsia="方正小标宋简体" w:cs="方正小标宋简体"/>
          <w:kern w:val="44"/>
          <w:sz w:val="44"/>
          <w:szCs w:val="44"/>
          <w:highlight w:val="none"/>
          <w:lang w:val="en-US" w:eastAsia="zh-CN"/>
        </w:rPr>
        <w:t xml:space="preserve"> </w:t>
      </w:r>
      <w:r>
        <w:rPr>
          <w:rFonts w:hint="eastAsia" w:ascii="Times New Roman" w:hAnsi="Times New Roman" w:eastAsia="方正小标宋简体" w:cs="方正小标宋简体"/>
          <w:kern w:val="44"/>
          <w:sz w:val="44"/>
          <w:szCs w:val="44"/>
          <w:highlight w:val="none"/>
        </w:rPr>
        <w:t>况</w:t>
      </w:r>
    </w:p>
    <w:p w14:paraId="2DDD0458">
      <w:pPr>
        <w:keepNext/>
        <w:keepLines/>
        <w:autoSpaceDE w:val="0"/>
        <w:autoSpaceDN w:val="0"/>
        <w:adjustRightInd w:val="0"/>
        <w:spacing w:line="600" w:lineRule="exact"/>
        <w:ind w:firstLine="600"/>
        <w:jc w:val="left"/>
        <w:outlineLvl w:val="1"/>
        <w:rPr>
          <w:rFonts w:ascii="Times New Roman" w:hAnsi="Times New Roman" w:eastAsia="黑体" w:cs="黑体"/>
          <w:kern w:val="0"/>
          <w:sz w:val="30"/>
          <w:szCs w:val="30"/>
          <w:highlight w:val="none"/>
        </w:rPr>
      </w:pPr>
      <w:r>
        <w:rPr>
          <w:rFonts w:hint="eastAsia" w:ascii="Times New Roman" w:hAnsi="Times New Roman" w:eastAsia="黑体" w:cs="黑体"/>
          <w:kern w:val="0"/>
          <w:sz w:val="30"/>
          <w:szCs w:val="30"/>
          <w:highlight w:val="none"/>
        </w:rPr>
        <w:t>一、主要职责</w:t>
      </w:r>
    </w:p>
    <w:p w14:paraId="7BE9947A">
      <w:pPr>
        <w:spacing w:line="600" w:lineRule="exact"/>
        <w:ind w:firstLine="600" w:firstLineChars="200"/>
        <w:jc w:val="both"/>
        <w:rPr>
          <w:rFonts w:hint="default" w:ascii="Times New Roman" w:hAnsi="Times New Roman" w:eastAsia="仿宋_GB2312"/>
          <w:color w:val="auto"/>
          <w:sz w:val="30"/>
          <w:szCs w:val="24"/>
        </w:rPr>
      </w:pPr>
      <w:r>
        <w:rPr>
          <w:rFonts w:hint="default" w:ascii="Times New Roman" w:hAnsi="Times New Roman" w:eastAsia="仿宋_GB2312"/>
          <w:color w:val="auto"/>
          <w:sz w:val="30"/>
          <w:szCs w:val="24"/>
        </w:rPr>
        <w:t>1.</w:t>
      </w:r>
      <w:r>
        <w:rPr>
          <w:rFonts w:hint="eastAsia" w:ascii="Times New Roman" w:hAnsi="Times New Roman" w:eastAsia="仿宋_GB2312"/>
          <w:color w:val="auto"/>
          <w:sz w:val="30"/>
          <w:szCs w:val="24"/>
        </w:rPr>
        <w:t>贯彻落实国家和天津市关于卫生健康方面的法律法规、政策、规划和标准，完成市委、市政府、市卫健委部署的医疗任务。组织实施医疗、预防、保健等卫生服务，为改善民生、提高公民健康水平，发挥公立医院的社会公益性作用。</w:t>
      </w:r>
    </w:p>
    <w:p w14:paraId="263170E1">
      <w:pPr>
        <w:spacing w:line="600" w:lineRule="exact"/>
        <w:ind w:firstLine="600" w:firstLineChars="200"/>
        <w:jc w:val="both"/>
        <w:rPr>
          <w:rFonts w:hint="default" w:ascii="Times New Roman" w:hAnsi="Times New Roman" w:eastAsia="仿宋_GB2312"/>
          <w:color w:val="auto"/>
          <w:sz w:val="30"/>
          <w:szCs w:val="24"/>
        </w:rPr>
      </w:pPr>
      <w:r>
        <w:rPr>
          <w:rFonts w:hint="default" w:ascii="Times New Roman" w:hAnsi="Times New Roman" w:eastAsia="仿宋_GB2312"/>
          <w:color w:val="auto"/>
          <w:sz w:val="30"/>
          <w:szCs w:val="24"/>
        </w:rPr>
        <w:t>2.</w:t>
      </w:r>
      <w:r>
        <w:rPr>
          <w:rFonts w:hint="eastAsia" w:ascii="Times New Roman" w:hAnsi="Times New Roman" w:eastAsia="仿宋_GB2312"/>
          <w:color w:val="auto"/>
          <w:sz w:val="30"/>
          <w:szCs w:val="24"/>
        </w:rPr>
        <w:t>贯彻落实医药卫生体制改革政策，推进以医疗质量、运营效率、持续发展和满意评价为核心的公立医院改革。坚持以健康为中心、以患者为中心，不断改善人民群众看病就医体验，构建和谐医患关系。</w:t>
      </w:r>
    </w:p>
    <w:p w14:paraId="7315BEC6">
      <w:pPr>
        <w:spacing w:line="600" w:lineRule="exact"/>
        <w:ind w:firstLine="600" w:firstLineChars="200"/>
        <w:jc w:val="both"/>
        <w:rPr>
          <w:rFonts w:hint="default" w:ascii="Times New Roman" w:hAnsi="Times New Roman" w:eastAsia="仿宋_GB2312"/>
          <w:color w:val="auto"/>
          <w:sz w:val="30"/>
          <w:szCs w:val="24"/>
        </w:rPr>
      </w:pPr>
      <w:r>
        <w:rPr>
          <w:rFonts w:hint="default" w:ascii="Times New Roman" w:hAnsi="Times New Roman" w:eastAsia="仿宋_GB2312"/>
          <w:color w:val="auto"/>
          <w:sz w:val="30"/>
          <w:szCs w:val="24"/>
        </w:rPr>
        <w:t>3.</w:t>
      </w:r>
      <w:r>
        <w:rPr>
          <w:rFonts w:hint="eastAsia" w:ascii="Times New Roman" w:hAnsi="Times New Roman" w:eastAsia="仿宋_GB2312"/>
          <w:color w:val="auto"/>
          <w:sz w:val="30"/>
          <w:szCs w:val="24"/>
        </w:rPr>
        <w:t>统筹规划医院资源配置，根据医院服务功能定位，编制和实施医院发展规划，建立科学的医院管理体系和医疗质量管理与持续改进机制，不断提高医疗质量与服务水平。</w:t>
      </w:r>
    </w:p>
    <w:p w14:paraId="66F31D08">
      <w:pPr>
        <w:spacing w:line="600" w:lineRule="exact"/>
        <w:ind w:firstLine="600" w:firstLineChars="200"/>
        <w:jc w:val="both"/>
        <w:rPr>
          <w:rFonts w:hint="default" w:ascii="Times New Roman" w:hAnsi="Times New Roman" w:eastAsia="仿宋_GB2312"/>
          <w:color w:val="auto"/>
          <w:sz w:val="30"/>
          <w:szCs w:val="24"/>
        </w:rPr>
      </w:pPr>
      <w:r>
        <w:rPr>
          <w:rFonts w:hint="default" w:ascii="Times New Roman" w:hAnsi="Times New Roman" w:eastAsia="仿宋_GB2312"/>
          <w:color w:val="auto"/>
          <w:sz w:val="30"/>
          <w:szCs w:val="24"/>
        </w:rPr>
        <w:t>4.</w:t>
      </w:r>
      <w:r>
        <w:rPr>
          <w:rFonts w:hint="eastAsia" w:ascii="Times New Roman" w:hAnsi="Times New Roman" w:eastAsia="仿宋_GB2312"/>
          <w:color w:val="auto"/>
          <w:sz w:val="30"/>
          <w:szCs w:val="24"/>
        </w:rPr>
        <w:t>制定医学人才的培养机制与措施，建立科学的医学人才梯队，培养高层次医学人才。高质量完成各专业各层次的教学任务，发挥教学医院的实训作用。</w:t>
      </w:r>
    </w:p>
    <w:p w14:paraId="6BC5DECA">
      <w:pPr>
        <w:spacing w:line="600" w:lineRule="exact"/>
        <w:ind w:firstLine="600" w:firstLineChars="200"/>
        <w:jc w:val="both"/>
        <w:rPr>
          <w:rFonts w:hint="default" w:ascii="Times New Roman" w:hAnsi="Times New Roman" w:eastAsia="仿宋_GB2312"/>
          <w:color w:val="auto"/>
          <w:sz w:val="30"/>
          <w:szCs w:val="24"/>
        </w:rPr>
      </w:pPr>
      <w:r>
        <w:rPr>
          <w:rFonts w:hint="default" w:ascii="Times New Roman" w:hAnsi="Times New Roman" w:eastAsia="仿宋_GB2312"/>
          <w:color w:val="auto"/>
          <w:sz w:val="30"/>
          <w:szCs w:val="24"/>
        </w:rPr>
        <w:t>5.</w:t>
      </w:r>
      <w:r>
        <w:rPr>
          <w:rFonts w:hint="eastAsia" w:ascii="Times New Roman" w:hAnsi="Times New Roman" w:eastAsia="仿宋_GB2312"/>
          <w:color w:val="auto"/>
          <w:sz w:val="30"/>
          <w:szCs w:val="24"/>
        </w:rPr>
        <w:t>积极开展临床科学研究，推进科技创新，助力科研成果的实际转化与应用。</w:t>
      </w:r>
    </w:p>
    <w:p w14:paraId="67E2DE75">
      <w:pPr>
        <w:spacing w:line="600" w:lineRule="exact"/>
        <w:ind w:firstLine="600" w:firstLineChars="200"/>
        <w:jc w:val="both"/>
        <w:rPr>
          <w:rFonts w:hint="default" w:ascii="Times New Roman" w:hAnsi="Times New Roman" w:eastAsia="仿宋_GB2312"/>
          <w:color w:val="auto"/>
          <w:sz w:val="30"/>
          <w:szCs w:val="24"/>
        </w:rPr>
      </w:pPr>
      <w:r>
        <w:rPr>
          <w:rFonts w:hint="default" w:ascii="Times New Roman" w:hAnsi="Times New Roman" w:eastAsia="仿宋_GB2312"/>
          <w:color w:val="auto"/>
          <w:sz w:val="30"/>
          <w:szCs w:val="24"/>
        </w:rPr>
        <w:t>6.</w:t>
      </w:r>
      <w:r>
        <w:rPr>
          <w:rFonts w:hint="eastAsia" w:ascii="Times New Roman" w:hAnsi="Times New Roman" w:eastAsia="仿宋_GB2312"/>
          <w:color w:val="auto"/>
          <w:sz w:val="30"/>
          <w:szCs w:val="24"/>
        </w:rPr>
        <w:t>落实国家药物政策和国家基本用药制度，加强药品的使用监测，完善临床药学工作，确保用药安全。</w:t>
      </w:r>
    </w:p>
    <w:p w14:paraId="71801946">
      <w:pPr>
        <w:spacing w:line="600" w:lineRule="exact"/>
        <w:ind w:firstLine="600" w:firstLineChars="200"/>
        <w:jc w:val="both"/>
        <w:rPr>
          <w:rFonts w:hint="default" w:ascii="Times New Roman" w:hAnsi="Times New Roman" w:eastAsia="仿宋_GB2312"/>
          <w:color w:val="auto"/>
          <w:sz w:val="30"/>
          <w:szCs w:val="24"/>
        </w:rPr>
      </w:pPr>
      <w:r>
        <w:rPr>
          <w:rFonts w:hint="default" w:ascii="Times New Roman" w:hAnsi="Times New Roman" w:eastAsia="仿宋_GB2312"/>
          <w:color w:val="auto"/>
          <w:sz w:val="30"/>
          <w:szCs w:val="24"/>
        </w:rPr>
        <w:t>7.</w:t>
      </w:r>
      <w:r>
        <w:rPr>
          <w:rFonts w:hint="eastAsia" w:ascii="Times New Roman" w:hAnsi="Times New Roman" w:eastAsia="仿宋_GB2312"/>
          <w:color w:val="auto"/>
          <w:sz w:val="30"/>
          <w:szCs w:val="24"/>
        </w:rPr>
        <w:t>履行公共卫生的相应职能，加强传染病的发现与报告、职业防护等方面的管理，持续开展控烟管理、慢性病管理、疾病预防等健康促进工作。</w:t>
      </w:r>
    </w:p>
    <w:p w14:paraId="64E212FF">
      <w:pPr>
        <w:spacing w:line="600" w:lineRule="exact"/>
        <w:ind w:firstLine="600" w:firstLineChars="200"/>
        <w:jc w:val="both"/>
        <w:rPr>
          <w:rFonts w:hint="default" w:ascii="Times New Roman" w:hAnsi="Times New Roman" w:eastAsia="仿宋_GB2312"/>
          <w:color w:val="auto"/>
          <w:sz w:val="30"/>
          <w:szCs w:val="24"/>
        </w:rPr>
      </w:pPr>
      <w:r>
        <w:rPr>
          <w:rFonts w:hint="default" w:ascii="Times New Roman" w:hAnsi="Times New Roman" w:eastAsia="仿宋_GB2312"/>
          <w:color w:val="auto"/>
          <w:sz w:val="30"/>
          <w:szCs w:val="24"/>
        </w:rPr>
        <w:t>8.</w:t>
      </w:r>
      <w:r>
        <w:rPr>
          <w:rFonts w:hint="eastAsia" w:ascii="Times New Roman" w:hAnsi="Times New Roman" w:eastAsia="仿宋_GB2312"/>
          <w:color w:val="auto"/>
          <w:sz w:val="30"/>
          <w:szCs w:val="24"/>
        </w:rPr>
        <w:t>积极承担社会突发公共卫生事件中医疗救治责任，建立重症创伤等生命急救绿色通道，组建技术力量雄厚的应急救援预备队伍，实施规范、快速、有效的应急响应机制。</w:t>
      </w:r>
    </w:p>
    <w:p w14:paraId="56AB2758">
      <w:pPr>
        <w:spacing w:line="600" w:lineRule="exact"/>
        <w:ind w:firstLine="600" w:firstLineChars="200"/>
        <w:jc w:val="both"/>
        <w:rPr>
          <w:rFonts w:hint="default" w:ascii="Times New Roman" w:hAnsi="Times New Roman" w:eastAsia="仿宋_GB2312"/>
          <w:color w:val="auto"/>
          <w:sz w:val="30"/>
          <w:szCs w:val="24"/>
        </w:rPr>
      </w:pPr>
      <w:r>
        <w:rPr>
          <w:rFonts w:hint="default" w:ascii="Times New Roman" w:hAnsi="Times New Roman" w:eastAsia="仿宋_GB2312"/>
          <w:color w:val="auto"/>
          <w:sz w:val="30"/>
          <w:szCs w:val="24"/>
        </w:rPr>
        <w:t>9.</w:t>
      </w:r>
      <w:r>
        <w:rPr>
          <w:rFonts w:hint="eastAsia" w:ascii="Times New Roman" w:hAnsi="Times New Roman" w:eastAsia="仿宋_GB2312"/>
          <w:color w:val="auto"/>
          <w:sz w:val="30"/>
          <w:szCs w:val="24"/>
        </w:rPr>
        <w:t>负责各个类别的医疗保健工作，负责天津市重要会议与重大活动的医疗卫生保障工作。</w:t>
      </w:r>
    </w:p>
    <w:p w14:paraId="1EEF2464">
      <w:pPr>
        <w:spacing w:line="600" w:lineRule="exact"/>
        <w:ind w:firstLine="600" w:firstLineChars="200"/>
        <w:jc w:val="both"/>
        <w:rPr>
          <w:rFonts w:hint="default" w:ascii="Times New Roman" w:hAnsi="Times New Roman" w:eastAsia="仿宋_GB2312"/>
          <w:color w:val="auto"/>
          <w:sz w:val="30"/>
          <w:szCs w:val="24"/>
        </w:rPr>
      </w:pPr>
      <w:r>
        <w:rPr>
          <w:rFonts w:hint="default" w:ascii="Times New Roman" w:hAnsi="Times New Roman" w:eastAsia="仿宋_GB2312"/>
          <w:color w:val="auto"/>
          <w:sz w:val="30"/>
          <w:szCs w:val="24"/>
        </w:rPr>
        <w:t>10.</w:t>
      </w:r>
      <w:r>
        <w:rPr>
          <w:rFonts w:hint="eastAsia" w:ascii="Times New Roman" w:hAnsi="Times New Roman" w:eastAsia="仿宋_GB2312"/>
          <w:color w:val="auto"/>
          <w:sz w:val="30"/>
          <w:szCs w:val="24"/>
        </w:rPr>
        <w:t>充分发挥三级医院优质医疗资源的示范和带动作用，大力推进对口帮扶工作，外派医务人员参加援甘、援疆、援藏、援外工作，完成京津冀协同发展中医疗帮建、帮带任务，加强与基层医院的医疗技术合作。</w:t>
      </w:r>
    </w:p>
    <w:p w14:paraId="02BB8BD2">
      <w:pPr>
        <w:spacing w:line="600" w:lineRule="exact"/>
        <w:ind w:firstLine="600" w:firstLineChars="200"/>
        <w:jc w:val="both"/>
        <w:rPr>
          <w:rFonts w:hint="default" w:ascii="Times New Roman" w:hAnsi="Times New Roman" w:eastAsia="仿宋_GB2312"/>
          <w:color w:val="auto"/>
          <w:sz w:val="30"/>
          <w:szCs w:val="24"/>
        </w:rPr>
      </w:pPr>
      <w:r>
        <w:rPr>
          <w:rFonts w:hint="default" w:ascii="Times New Roman" w:hAnsi="Times New Roman" w:eastAsia="仿宋_GB2312"/>
          <w:color w:val="auto"/>
          <w:sz w:val="30"/>
          <w:szCs w:val="24"/>
        </w:rPr>
        <w:t>11.</w:t>
      </w:r>
      <w:r>
        <w:rPr>
          <w:rFonts w:hint="eastAsia" w:ascii="Times New Roman" w:hAnsi="Times New Roman" w:eastAsia="仿宋_GB2312"/>
          <w:color w:val="auto"/>
          <w:sz w:val="30"/>
          <w:szCs w:val="24"/>
        </w:rPr>
        <w:t>推进医院管理的创新与发展，提速智慧医疗建设，健全服务体系，提供多元化、多样化的医疗服务，加强医院安全生产管理，扩大对外合作与交流，为新时代天津高质量发展发挥作用。</w:t>
      </w:r>
    </w:p>
    <w:p w14:paraId="011D4D16">
      <w:pPr>
        <w:keepNext/>
        <w:keepLines/>
        <w:autoSpaceDE w:val="0"/>
        <w:autoSpaceDN w:val="0"/>
        <w:adjustRightInd w:val="0"/>
        <w:spacing w:line="600" w:lineRule="exact"/>
        <w:ind w:firstLine="600"/>
        <w:jc w:val="left"/>
        <w:outlineLvl w:val="1"/>
        <w:rPr>
          <w:rFonts w:ascii="Times New Roman" w:hAnsi="Times New Roman" w:eastAsia="黑体" w:cs="黑体"/>
          <w:kern w:val="0"/>
          <w:sz w:val="30"/>
          <w:szCs w:val="30"/>
          <w:highlight w:val="none"/>
        </w:rPr>
      </w:pPr>
      <w:r>
        <w:rPr>
          <w:rFonts w:hint="eastAsia" w:ascii="Times New Roman" w:hAnsi="Times New Roman" w:eastAsia="黑体" w:cs="黑体"/>
          <w:kern w:val="0"/>
          <w:sz w:val="30"/>
          <w:szCs w:val="30"/>
          <w:highlight w:val="none"/>
        </w:rPr>
        <w:t>二、机构设置</w:t>
      </w:r>
    </w:p>
    <w:p w14:paraId="46AA09AC">
      <w:pPr>
        <w:autoSpaceDE w:val="0"/>
        <w:autoSpaceDN w:val="0"/>
        <w:adjustRightInd w:val="0"/>
        <w:spacing w:line="600" w:lineRule="exact"/>
        <w:ind w:firstLine="600"/>
        <w:jc w:val="left"/>
        <w:rPr>
          <w:rFonts w:hint="eastAsia" w:ascii="Times New Roman" w:hAnsi="Times New Roman" w:eastAsia="仿宋_GB2312" w:cs="仿宋_GB2312"/>
          <w:sz w:val="30"/>
          <w:szCs w:val="30"/>
          <w:highlight w:val="none"/>
          <w:lang w:eastAsia="zh-CN"/>
        </w:rPr>
      </w:pPr>
      <w:r>
        <w:rPr>
          <w:rFonts w:hint="eastAsia" w:ascii="Times New Roman" w:hAnsi="Times New Roman" w:eastAsia="仿宋_GB2312" w:cs="仿宋_GB2312"/>
          <w:sz w:val="30"/>
          <w:szCs w:val="30"/>
          <w:highlight w:val="none"/>
          <w:lang w:eastAsia="zh-CN"/>
        </w:rPr>
        <w:t>天津市第一中心医院内设17个职能处室；纳入天津市第一中心医院2023年度部门决算编制范围的单位包括：</w:t>
      </w:r>
    </w:p>
    <w:p w14:paraId="2F347A2C">
      <w:pPr>
        <w:autoSpaceDE w:val="0"/>
        <w:autoSpaceDN w:val="0"/>
        <w:adjustRightInd w:val="0"/>
        <w:spacing w:line="600" w:lineRule="exact"/>
        <w:ind w:firstLine="600"/>
        <w:jc w:val="left"/>
        <w:rPr>
          <w:rFonts w:hint="eastAsia" w:ascii="Times New Roman" w:hAnsi="Times New Roman" w:eastAsia="仿宋_GB2312" w:cs="仿宋_GB2312"/>
          <w:sz w:val="30"/>
          <w:szCs w:val="30"/>
          <w:highlight w:val="none"/>
          <w:lang w:eastAsia="zh-CN"/>
        </w:rPr>
      </w:pPr>
      <w:r>
        <w:rPr>
          <w:rFonts w:hint="eastAsia" w:ascii="Times New Roman" w:hAnsi="Times New Roman" w:eastAsia="仿宋_GB2312" w:cs="仿宋_GB2312"/>
          <w:sz w:val="30"/>
          <w:szCs w:val="30"/>
          <w:highlight w:val="none"/>
          <w:lang w:eastAsia="zh-CN"/>
        </w:rPr>
        <w:t>1.天津市第一中心医院本级</w:t>
      </w:r>
    </w:p>
    <w:p w14:paraId="40E5D69C">
      <w:pPr>
        <w:rPr>
          <w:rFonts w:ascii="Times New Roman" w:hAnsi="Times New Roman" w:eastAsia="黑体" w:cs="黑体"/>
          <w:sz w:val="30"/>
          <w:szCs w:val="30"/>
          <w:highlight w:val="none"/>
          <w:lang w:val="zh-CN"/>
        </w:rPr>
      </w:pPr>
      <w:r>
        <w:rPr>
          <w:rFonts w:ascii="Times New Roman" w:hAnsi="Times New Roman" w:eastAsia="黑体" w:cs="黑体"/>
          <w:sz w:val="30"/>
          <w:szCs w:val="30"/>
          <w:highlight w:val="none"/>
          <w:lang w:val="zh-CN"/>
        </w:rPr>
        <w:br w:type="page"/>
      </w:r>
    </w:p>
    <w:p w14:paraId="7EF445DC">
      <w:pPr>
        <w:keepNext/>
        <w:keepLines/>
        <w:autoSpaceDE w:val="0"/>
        <w:autoSpaceDN w:val="0"/>
        <w:adjustRightInd w:val="0"/>
        <w:spacing w:line="600" w:lineRule="exact"/>
        <w:jc w:val="center"/>
        <w:outlineLvl w:val="0"/>
        <w:rPr>
          <w:rFonts w:ascii="Times New Roman" w:hAnsi="Times New Roman" w:eastAsia="方正小标宋简体" w:cs="方正小标宋简体"/>
          <w:kern w:val="44"/>
          <w:sz w:val="44"/>
          <w:szCs w:val="44"/>
          <w:highlight w:val="none"/>
        </w:rPr>
      </w:pPr>
      <w:r>
        <w:rPr>
          <w:rFonts w:hint="eastAsia" w:ascii="Times New Roman" w:hAnsi="Times New Roman" w:eastAsia="方正小标宋简体" w:cs="方正小标宋简体"/>
          <w:kern w:val="44"/>
          <w:sz w:val="44"/>
          <w:szCs w:val="44"/>
          <w:highlight w:val="none"/>
        </w:rPr>
        <w:t>第二部分</w:t>
      </w:r>
      <w:r>
        <w:rPr>
          <w:rFonts w:hint="eastAsia" w:ascii="Times New Roman" w:hAnsi="Times New Roman" w:eastAsia="方正小标宋简体" w:cs="方正小标宋简体"/>
          <w:kern w:val="44"/>
          <w:sz w:val="44"/>
          <w:szCs w:val="44"/>
          <w:highlight w:val="none"/>
          <w:lang w:val="en-US" w:eastAsia="zh-CN"/>
        </w:rPr>
        <w:t xml:space="preserve">  </w:t>
      </w:r>
      <w:r>
        <w:rPr>
          <w:rFonts w:hint="eastAsia" w:ascii="Times New Roman" w:hAnsi="Times New Roman" w:eastAsia="方正小标宋简体" w:cs="方正小标宋简体"/>
          <w:kern w:val="44"/>
          <w:sz w:val="44"/>
          <w:szCs w:val="44"/>
          <w:highlight w:val="none"/>
          <w:lang w:eastAsia="zh-CN"/>
        </w:rPr>
        <w:t>2023</w:t>
      </w:r>
      <w:r>
        <w:rPr>
          <w:rFonts w:hint="eastAsia" w:ascii="Times New Roman" w:hAnsi="Times New Roman" w:eastAsia="方正小标宋简体" w:cs="方正小标宋简体"/>
          <w:kern w:val="44"/>
          <w:sz w:val="44"/>
          <w:szCs w:val="44"/>
          <w:highlight w:val="none"/>
        </w:rPr>
        <w:t>年度部门决算表</w:t>
      </w:r>
    </w:p>
    <w:p w14:paraId="7994F2E8">
      <w:pPr>
        <w:autoSpaceDE w:val="0"/>
        <w:autoSpaceDN w:val="0"/>
        <w:adjustRightInd w:val="0"/>
        <w:spacing w:line="600" w:lineRule="exact"/>
        <w:jc w:val="left"/>
        <w:rPr>
          <w:rFonts w:ascii="Times New Roman" w:hAnsi="Times New Roman" w:eastAsia="方正小标宋简体" w:cs="Times New Roman"/>
          <w:kern w:val="0"/>
          <w:sz w:val="24"/>
          <w:szCs w:val="24"/>
          <w:highlight w:val="none"/>
        </w:rPr>
      </w:pPr>
    </w:p>
    <w:p w14:paraId="3C69EC8D">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highlight w:val="none"/>
        </w:rPr>
      </w:pPr>
      <w:r>
        <w:rPr>
          <w:rFonts w:hint="eastAsia" w:ascii="Times New Roman" w:hAnsi="Times New Roman" w:eastAsia="黑体" w:cs="黑体"/>
          <w:kern w:val="0"/>
          <w:sz w:val="30"/>
          <w:szCs w:val="30"/>
          <w:highlight w:val="none"/>
        </w:rPr>
        <w:t>一、《收入支出决算总表》</w:t>
      </w:r>
    </w:p>
    <w:p w14:paraId="507B9D0E">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highlight w:val="none"/>
        </w:rPr>
      </w:pPr>
      <w:r>
        <w:rPr>
          <w:rFonts w:hint="eastAsia" w:ascii="Times New Roman" w:hAnsi="Times New Roman" w:eastAsia="黑体" w:cs="黑体"/>
          <w:kern w:val="0"/>
          <w:sz w:val="30"/>
          <w:szCs w:val="30"/>
          <w:highlight w:val="none"/>
        </w:rPr>
        <w:t>二、《收入决算表（按功能分类列示）》</w:t>
      </w:r>
    </w:p>
    <w:p w14:paraId="5018D75D">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highlight w:val="none"/>
        </w:rPr>
      </w:pPr>
      <w:r>
        <w:rPr>
          <w:rFonts w:hint="eastAsia" w:ascii="Times New Roman" w:hAnsi="Times New Roman" w:eastAsia="黑体" w:cs="黑体"/>
          <w:kern w:val="0"/>
          <w:sz w:val="30"/>
          <w:szCs w:val="30"/>
          <w:highlight w:val="none"/>
        </w:rPr>
        <w:t>三、《收入决算表（按单位列示）》</w:t>
      </w:r>
    </w:p>
    <w:p w14:paraId="1CCAA140">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highlight w:val="none"/>
        </w:rPr>
      </w:pPr>
      <w:r>
        <w:rPr>
          <w:rFonts w:hint="eastAsia" w:ascii="Times New Roman" w:hAnsi="Times New Roman" w:eastAsia="黑体" w:cs="黑体"/>
          <w:kern w:val="0"/>
          <w:sz w:val="30"/>
          <w:szCs w:val="30"/>
          <w:highlight w:val="none"/>
        </w:rPr>
        <w:t>四、《支出决算表》</w:t>
      </w:r>
    </w:p>
    <w:p w14:paraId="5A72A674">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highlight w:val="none"/>
        </w:rPr>
      </w:pPr>
      <w:r>
        <w:rPr>
          <w:rFonts w:hint="eastAsia" w:ascii="Times New Roman" w:hAnsi="Times New Roman" w:eastAsia="黑体" w:cs="黑体"/>
          <w:kern w:val="0"/>
          <w:sz w:val="30"/>
          <w:szCs w:val="30"/>
          <w:highlight w:val="none"/>
        </w:rPr>
        <w:t>五、《财政拨款收入支出决算总表》</w:t>
      </w:r>
    </w:p>
    <w:p w14:paraId="1C5A8892">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highlight w:val="none"/>
        </w:rPr>
      </w:pPr>
      <w:r>
        <w:rPr>
          <w:rFonts w:hint="eastAsia" w:ascii="Times New Roman" w:hAnsi="Times New Roman" w:eastAsia="黑体" w:cs="黑体"/>
          <w:kern w:val="0"/>
          <w:sz w:val="30"/>
          <w:szCs w:val="30"/>
          <w:highlight w:val="none"/>
        </w:rPr>
        <w:t>六、《一般公共预算财政拨款支出决算表》</w:t>
      </w:r>
    </w:p>
    <w:p w14:paraId="35ED4253">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highlight w:val="none"/>
        </w:rPr>
      </w:pPr>
      <w:r>
        <w:rPr>
          <w:rFonts w:hint="eastAsia" w:ascii="Times New Roman" w:hAnsi="Times New Roman" w:eastAsia="黑体" w:cs="黑体"/>
          <w:kern w:val="0"/>
          <w:sz w:val="30"/>
          <w:szCs w:val="30"/>
          <w:highlight w:val="none"/>
        </w:rPr>
        <w:t>七、《一般公共预算财政拨款基本支出决算表》</w:t>
      </w:r>
    </w:p>
    <w:p w14:paraId="2D2316FE">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highlight w:val="none"/>
        </w:rPr>
      </w:pPr>
      <w:r>
        <w:rPr>
          <w:rFonts w:hint="eastAsia" w:ascii="Times New Roman" w:hAnsi="Times New Roman" w:eastAsia="黑体" w:cs="黑体"/>
          <w:kern w:val="0"/>
          <w:sz w:val="30"/>
          <w:szCs w:val="30"/>
          <w:highlight w:val="none"/>
        </w:rPr>
        <w:t>八、《政府性基金预算财政拨款收入支出决算表》</w:t>
      </w:r>
    </w:p>
    <w:p w14:paraId="652BDE6A">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highlight w:val="none"/>
        </w:rPr>
      </w:pPr>
      <w:r>
        <w:rPr>
          <w:rFonts w:hint="eastAsia" w:ascii="Times New Roman" w:hAnsi="Times New Roman" w:eastAsia="黑体" w:cs="黑体"/>
          <w:kern w:val="0"/>
          <w:sz w:val="30"/>
          <w:szCs w:val="30"/>
          <w:highlight w:val="none"/>
        </w:rPr>
        <w:t>九、《国有资本经营预算财政拨款收入支出决算表》</w:t>
      </w:r>
    </w:p>
    <w:p w14:paraId="48AA095A">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highlight w:val="none"/>
        </w:rPr>
      </w:pPr>
      <w:r>
        <w:rPr>
          <w:rFonts w:hint="eastAsia" w:ascii="Times New Roman" w:hAnsi="Times New Roman" w:eastAsia="黑体" w:cs="黑体"/>
          <w:kern w:val="0"/>
          <w:sz w:val="30"/>
          <w:szCs w:val="30"/>
          <w:highlight w:val="none"/>
        </w:rPr>
        <w:t>十、《财政拨款</w:t>
      </w:r>
      <w:r>
        <w:rPr>
          <w:rFonts w:ascii="Times New Roman" w:hAnsi="Times New Roman" w:eastAsia="黑体" w:cs="黑体"/>
          <w:kern w:val="0"/>
          <w:sz w:val="30"/>
          <w:szCs w:val="30"/>
          <w:highlight w:val="none"/>
        </w:rPr>
        <w:t>“</w:t>
      </w:r>
      <w:r>
        <w:rPr>
          <w:rFonts w:hint="eastAsia" w:ascii="Times New Roman" w:hAnsi="Times New Roman" w:eastAsia="黑体" w:cs="黑体"/>
          <w:kern w:val="0"/>
          <w:sz w:val="30"/>
          <w:szCs w:val="30"/>
          <w:highlight w:val="none"/>
        </w:rPr>
        <w:t>三公</w:t>
      </w:r>
      <w:r>
        <w:rPr>
          <w:rFonts w:ascii="Times New Roman" w:hAnsi="Times New Roman" w:eastAsia="黑体" w:cs="黑体"/>
          <w:kern w:val="0"/>
          <w:sz w:val="30"/>
          <w:szCs w:val="30"/>
          <w:highlight w:val="none"/>
        </w:rPr>
        <w:t>”</w:t>
      </w:r>
      <w:r>
        <w:rPr>
          <w:rFonts w:hint="eastAsia" w:ascii="Times New Roman" w:hAnsi="Times New Roman" w:eastAsia="黑体" w:cs="黑体"/>
          <w:kern w:val="0"/>
          <w:sz w:val="30"/>
          <w:szCs w:val="30"/>
          <w:highlight w:val="none"/>
        </w:rPr>
        <w:t>经费支出决算表》</w:t>
      </w:r>
    </w:p>
    <w:p w14:paraId="1E1C7C03">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highlight w:val="none"/>
        </w:rPr>
      </w:pPr>
      <w:r>
        <w:rPr>
          <w:rFonts w:hint="eastAsia" w:ascii="Times New Roman" w:hAnsi="Times New Roman" w:eastAsia="黑体" w:cs="黑体"/>
          <w:kern w:val="0"/>
          <w:sz w:val="30"/>
          <w:szCs w:val="30"/>
          <w:highlight w:val="none"/>
        </w:rPr>
        <w:t>十一、《项目支出决算表》</w:t>
      </w:r>
    </w:p>
    <w:p w14:paraId="64725F82">
      <w:pPr>
        <w:autoSpaceDE w:val="0"/>
        <w:autoSpaceDN w:val="0"/>
        <w:adjustRightInd w:val="0"/>
        <w:spacing w:line="800" w:lineRule="exact"/>
        <w:jc w:val="left"/>
        <w:rPr>
          <w:rFonts w:ascii="Times New Roman" w:hAnsi="Times New Roman" w:eastAsia="楷体" w:cs="楷体"/>
          <w:kern w:val="0"/>
          <w:sz w:val="30"/>
          <w:szCs w:val="30"/>
          <w:highlight w:val="none"/>
        </w:rPr>
      </w:pPr>
      <w:r>
        <w:rPr>
          <w:rFonts w:hint="eastAsia" w:ascii="Times New Roman" w:hAnsi="Times New Roman" w:eastAsia="楷体" w:cs="楷体"/>
          <w:kern w:val="0"/>
          <w:sz w:val="30"/>
          <w:szCs w:val="30"/>
          <w:highlight w:val="none"/>
        </w:rPr>
        <w:t>注：以上决算公开表均作为附表，附于决算公开说明文档后。</w:t>
      </w:r>
    </w:p>
    <w:p w14:paraId="418CAC63">
      <w:pPr>
        <w:autoSpaceDE w:val="0"/>
        <w:autoSpaceDN w:val="0"/>
        <w:adjustRightInd w:val="0"/>
        <w:spacing w:line="600" w:lineRule="exact"/>
        <w:jc w:val="left"/>
        <w:rPr>
          <w:rFonts w:ascii="Times New Roman" w:hAnsi="Times New Roman" w:eastAsia="黑体" w:cs="黑体"/>
          <w:b/>
          <w:bCs/>
          <w:kern w:val="0"/>
          <w:sz w:val="30"/>
          <w:szCs w:val="30"/>
          <w:highlight w:val="none"/>
        </w:rPr>
      </w:pPr>
      <w:r>
        <w:rPr>
          <w:rFonts w:ascii="Times New Roman" w:hAnsi="Times New Roman" w:eastAsia="楷体" w:cs="Times New Roman"/>
          <w:kern w:val="0"/>
          <w:sz w:val="24"/>
          <w:szCs w:val="24"/>
          <w:highlight w:val="none"/>
        </w:rPr>
        <w:br w:type="page"/>
      </w:r>
      <w:r>
        <w:rPr>
          <w:rFonts w:hint="eastAsia" w:ascii="Times New Roman" w:hAnsi="Times New Roman" w:eastAsia="楷体" w:cs="Times New Roman"/>
          <w:kern w:val="0"/>
          <w:sz w:val="24"/>
          <w:szCs w:val="24"/>
          <w:highlight w:val="none"/>
          <w:lang w:val="en-US" w:eastAsia="zh-CN"/>
        </w:rPr>
        <w:t xml:space="preserve">    </w:t>
      </w:r>
      <w:r>
        <w:rPr>
          <w:rFonts w:hint="eastAsia" w:ascii="Times New Roman" w:hAnsi="Times New Roman" w:eastAsia="黑体" w:cs="黑体"/>
          <w:b/>
          <w:bCs/>
          <w:kern w:val="0"/>
          <w:sz w:val="30"/>
          <w:szCs w:val="30"/>
          <w:highlight w:val="none"/>
        </w:rPr>
        <w:t>十二、关于空表的说明</w:t>
      </w:r>
    </w:p>
    <w:p w14:paraId="47972E98">
      <w:pPr>
        <w:keepNext w:val="0"/>
        <w:keepLines w:val="0"/>
        <w:pageBreakBefore w:val="0"/>
        <w:widowControl w:val="0"/>
        <w:kinsoku/>
        <w:wordWrap/>
        <w:overflowPunct/>
        <w:topLinePunct w:val="0"/>
        <w:autoSpaceDE w:val="0"/>
        <w:autoSpaceDN w:val="0"/>
        <w:bidi w:val="0"/>
        <w:adjustRightInd w:val="0"/>
        <w:snapToGrid/>
        <w:spacing w:line="600" w:lineRule="exact"/>
        <w:ind w:firstLine="601"/>
        <w:jc w:val="left"/>
        <w:textAlignment w:val="auto"/>
        <w:rPr>
          <w:rFonts w:hint="eastAsia" w:ascii="Times New Roman" w:hAnsi="Times New Roman" w:eastAsia="仿宋_GB2312" w:cs="仿宋_GB2312"/>
          <w:sz w:val="30"/>
          <w:szCs w:val="30"/>
          <w:highlight w:val="none"/>
          <w:lang w:eastAsia="zh-CN"/>
        </w:rPr>
      </w:pPr>
      <w:r>
        <w:rPr>
          <w:rFonts w:hint="eastAsia" w:ascii="Times New Roman" w:hAnsi="Times New Roman" w:eastAsia="仿宋_GB2312" w:cs="仿宋_GB2312"/>
          <w:sz w:val="30"/>
          <w:szCs w:val="30"/>
          <w:highlight w:val="none"/>
          <w:lang w:eastAsia="zh-CN"/>
        </w:rPr>
        <w:t>1天津市第一中心医院2023年度一般公共预算财政拨款“三公”经费支出决算表为空表。</w:t>
      </w:r>
      <w:r>
        <w:rPr>
          <w:rFonts w:hint="eastAsia" w:ascii="Times New Roman" w:hAnsi="Times New Roman" w:eastAsia="仿宋_GB2312" w:cs="仿宋_GB2312"/>
          <w:sz w:val="30"/>
          <w:szCs w:val="30"/>
          <w:highlight w:val="none"/>
          <w:lang w:eastAsia="zh-CN"/>
        </w:rPr>
        <w:br w:type="textWrapping"/>
      </w:r>
      <w:r>
        <w:rPr>
          <w:rFonts w:hint="eastAsia" w:ascii="Times New Roman" w:hAnsi="Times New Roman" w:eastAsia="仿宋_GB2312" w:cs="仿宋_GB2312"/>
          <w:sz w:val="30"/>
          <w:szCs w:val="30"/>
          <w:highlight w:val="none"/>
          <w:lang w:val="en-US" w:eastAsia="zh-CN"/>
        </w:rPr>
        <w:t xml:space="preserve">    </w:t>
      </w:r>
      <w:r>
        <w:rPr>
          <w:rFonts w:hint="eastAsia" w:ascii="Times New Roman" w:hAnsi="Times New Roman" w:eastAsia="仿宋_GB2312" w:cs="仿宋_GB2312"/>
          <w:sz w:val="30"/>
          <w:szCs w:val="30"/>
          <w:highlight w:val="none"/>
          <w:lang w:eastAsia="zh-CN"/>
        </w:rPr>
        <w:t>2.天津市第一中心医院2023年度国有资本经营预算财政拨款支出决算表为空表。</w:t>
      </w:r>
    </w:p>
    <w:p w14:paraId="5AF11DAA">
      <w:pPr>
        <w:keepNext w:val="0"/>
        <w:keepLines w:val="0"/>
        <w:pageBreakBefore w:val="0"/>
        <w:widowControl w:val="0"/>
        <w:kinsoku/>
        <w:wordWrap/>
        <w:overflowPunct/>
        <w:topLinePunct w:val="0"/>
        <w:autoSpaceDE w:val="0"/>
        <w:autoSpaceDN w:val="0"/>
        <w:bidi w:val="0"/>
        <w:adjustRightInd w:val="0"/>
        <w:snapToGrid/>
        <w:spacing w:line="600" w:lineRule="exact"/>
        <w:ind w:firstLine="601"/>
        <w:jc w:val="left"/>
        <w:textAlignment w:val="auto"/>
        <w:rPr>
          <w:rFonts w:hint="eastAsia" w:ascii="Times New Roman" w:hAnsi="Times New Roman" w:eastAsia="仿宋_GB2312" w:cs="仿宋_GB2312"/>
          <w:sz w:val="30"/>
          <w:szCs w:val="30"/>
          <w:highlight w:val="none"/>
          <w:lang w:eastAsia="zh-CN"/>
        </w:rPr>
      </w:pPr>
    </w:p>
    <w:p w14:paraId="0143805F">
      <w:pPr>
        <w:keepNext/>
        <w:keepLines/>
        <w:autoSpaceDE w:val="0"/>
        <w:autoSpaceDN w:val="0"/>
        <w:adjustRightInd w:val="0"/>
        <w:spacing w:line="600" w:lineRule="exact"/>
        <w:ind w:firstLine="600"/>
        <w:jc w:val="left"/>
        <w:outlineLvl w:val="1"/>
        <w:rPr>
          <w:rFonts w:ascii="Times New Roman" w:hAnsi="Times New Roman" w:eastAsia="方正小标宋简体" w:cs="方正小标宋简体"/>
          <w:kern w:val="44"/>
          <w:sz w:val="44"/>
          <w:szCs w:val="44"/>
          <w:highlight w:val="none"/>
        </w:rPr>
      </w:pPr>
      <w:r>
        <w:rPr>
          <w:rFonts w:hint="eastAsia" w:ascii="Times New Roman" w:hAnsi="Times New Roman" w:eastAsia="方正小标宋简体" w:cs="方正小标宋简体"/>
          <w:kern w:val="44"/>
          <w:sz w:val="44"/>
          <w:szCs w:val="44"/>
          <w:highlight w:val="none"/>
        </w:rPr>
        <w:t>第三部分</w:t>
      </w:r>
      <w:r>
        <w:rPr>
          <w:rFonts w:hint="eastAsia" w:ascii="Times New Roman" w:hAnsi="Times New Roman" w:eastAsia="方正小标宋简体" w:cs="方正小标宋简体"/>
          <w:kern w:val="44"/>
          <w:sz w:val="44"/>
          <w:szCs w:val="44"/>
          <w:highlight w:val="none"/>
          <w:lang w:val="en-US" w:eastAsia="zh-CN"/>
        </w:rPr>
        <w:t xml:space="preserve">  </w:t>
      </w:r>
      <w:r>
        <w:rPr>
          <w:rFonts w:hint="eastAsia" w:ascii="Times New Roman" w:hAnsi="Times New Roman" w:eastAsia="方正小标宋简体" w:cs="方正小标宋简体"/>
          <w:kern w:val="44"/>
          <w:sz w:val="44"/>
          <w:szCs w:val="44"/>
          <w:highlight w:val="none"/>
          <w:lang w:eastAsia="zh-CN"/>
        </w:rPr>
        <w:t>2023</w:t>
      </w:r>
      <w:r>
        <w:rPr>
          <w:rFonts w:hint="eastAsia" w:ascii="Times New Roman" w:hAnsi="Times New Roman" w:eastAsia="方正小标宋简体" w:cs="方正小标宋简体"/>
          <w:kern w:val="44"/>
          <w:sz w:val="44"/>
          <w:szCs w:val="44"/>
          <w:highlight w:val="none"/>
        </w:rPr>
        <w:t>年度部门决算情况说明</w:t>
      </w:r>
    </w:p>
    <w:p w14:paraId="065E21A3">
      <w:pPr>
        <w:autoSpaceDE w:val="0"/>
        <w:autoSpaceDN w:val="0"/>
        <w:adjustRightInd w:val="0"/>
        <w:spacing w:line="580" w:lineRule="exact"/>
        <w:ind w:firstLine="600"/>
        <w:jc w:val="left"/>
        <w:rPr>
          <w:rFonts w:ascii="Times New Roman" w:hAnsi="Times New Roman" w:eastAsia="黑体" w:cs="黑体"/>
          <w:sz w:val="30"/>
          <w:szCs w:val="30"/>
          <w:highlight w:val="none"/>
          <w:lang w:val="zh-CN"/>
        </w:rPr>
      </w:pPr>
    </w:p>
    <w:p w14:paraId="663A4CA7">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highlight w:val="none"/>
          <w:lang w:val="zh-CN"/>
        </w:rPr>
      </w:pPr>
      <w:r>
        <w:rPr>
          <w:rFonts w:hint="eastAsia" w:ascii="Times New Roman" w:hAnsi="Times New Roman" w:eastAsia="黑体" w:cs="黑体"/>
          <w:b/>
          <w:bCs/>
          <w:kern w:val="0"/>
          <w:sz w:val="30"/>
          <w:szCs w:val="30"/>
          <w:highlight w:val="none"/>
          <w:lang w:val="zh-CN"/>
        </w:rPr>
        <w:t>一、收入支出决算总体情况说明</w:t>
      </w:r>
    </w:p>
    <w:p w14:paraId="1F53BE39">
      <w:pPr>
        <w:autoSpaceDE w:val="0"/>
        <w:autoSpaceDN w:val="0"/>
        <w:adjustRightInd w:val="0"/>
        <w:spacing w:line="600" w:lineRule="exact"/>
        <w:ind w:firstLine="600"/>
        <w:jc w:val="left"/>
        <w:rPr>
          <w:rFonts w:hint="eastAsia" w:ascii="Times New Roman" w:hAnsi="Times New Roman" w:eastAsia="仿宋_GB2312" w:cs="仿宋_GB2312"/>
          <w:sz w:val="30"/>
          <w:szCs w:val="30"/>
          <w:highlight w:val="none"/>
          <w:lang w:eastAsia="zh-CN"/>
        </w:rPr>
      </w:pPr>
      <w:r>
        <w:rPr>
          <w:rFonts w:hint="eastAsia" w:ascii="Times New Roman" w:hAnsi="Times New Roman" w:eastAsia="仿宋_GB2312" w:cs="仿宋_GB2312"/>
          <w:sz w:val="30"/>
          <w:szCs w:val="30"/>
          <w:highlight w:val="none"/>
          <w:lang w:val="zh-CN" w:eastAsia="zh-CN"/>
        </w:rPr>
        <w:t>天津市第一中心医院2023年度收入、支出决算总计</w:t>
      </w:r>
      <w:r>
        <w:rPr>
          <w:rFonts w:hint="eastAsia" w:ascii="Times New Roman" w:hAnsi="Times New Roman" w:eastAsia="仿宋_GB2312" w:cs="仿宋_GB2312"/>
          <w:sz w:val="30"/>
          <w:szCs w:val="30"/>
          <w:highlight w:val="none"/>
          <w:lang w:eastAsia="zh-CN"/>
        </w:rPr>
        <w:t>4,353,963,729.56元，与2022年度相比，收、支总计各增加1,220,544,248.32元，增长38.95%，</w:t>
      </w:r>
      <w:r>
        <w:rPr>
          <w:rFonts w:hint="eastAsia" w:ascii="Times New Roman" w:hAnsi="Times New Roman" w:eastAsia="仿宋_GB2312" w:cs="仿宋_GB2312"/>
          <w:sz w:val="30"/>
          <w:szCs w:val="30"/>
          <w:highlight w:val="none"/>
          <w:lang w:val="zh-CN" w:eastAsia="zh-CN"/>
        </w:rPr>
        <w:t>主要原因是</w:t>
      </w:r>
      <w:r>
        <w:rPr>
          <w:rFonts w:hint="eastAsia" w:ascii="Times New Roman" w:hAnsi="Times New Roman" w:eastAsia="仿宋_GB2312" w:cs="仿宋_GB2312"/>
          <w:sz w:val="30"/>
          <w:szCs w:val="30"/>
          <w:highlight w:val="none"/>
          <w:lang w:eastAsia="zh-CN"/>
        </w:rPr>
        <w:t>：本年度因疫情结束且水西院区开启，双院区运行，接诊病人增多，医疗收入增加5.3亿，拨付政策性亏损、开办费、重症监护设备资金等财政拨款3.2亿，债务预算收入增加2.1亿；本年度新院区开诊，双院区运行，人员费用和购置设备资本性支出增大。</w:t>
      </w:r>
    </w:p>
    <w:p w14:paraId="6AF09353">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highlight w:val="none"/>
        </w:rPr>
      </w:pPr>
      <w:r>
        <w:rPr>
          <w:rFonts w:hint="eastAsia" w:ascii="Times New Roman" w:hAnsi="Times New Roman" w:eastAsia="黑体" w:cs="黑体"/>
          <w:b/>
          <w:bCs/>
          <w:kern w:val="0"/>
          <w:sz w:val="30"/>
          <w:szCs w:val="30"/>
          <w:highlight w:val="none"/>
          <w:lang w:val="zh-CN"/>
        </w:rPr>
        <w:t>二、</w:t>
      </w:r>
      <w:r>
        <w:rPr>
          <w:rFonts w:hint="eastAsia" w:ascii="Times New Roman" w:hAnsi="Times New Roman" w:eastAsia="黑体" w:cs="黑体"/>
          <w:b/>
          <w:bCs/>
          <w:kern w:val="0"/>
          <w:sz w:val="30"/>
          <w:szCs w:val="30"/>
          <w:highlight w:val="none"/>
        </w:rPr>
        <w:t>收入决算情况</w:t>
      </w:r>
      <w:r>
        <w:rPr>
          <w:rFonts w:hint="eastAsia" w:ascii="Times New Roman" w:hAnsi="Times New Roman" w:eastAsia="黑体" w:cs="黑体"/>
          <w:b/>
          <w:bCs/>
          <w:kern w:val="0"/>
          <w:sz w:val="30"/>
          <w:szCs w:val="30"/>
          <w:highlight w:val="none"/>
          <w:lang w:val="zh-CN"/>
        </w:rPr>
        <w:t>说明</w:t>
      </w:r>
    </w:p>
    <w:p w14:paraId="2A8C831A">
      <w:pPr>
        <w:autoSpaceDE w:val="0"/>
        <w:autoSpaceDN w:val="0"/>
        <w:adjustRightInd w:val="0"/>
        <w:spacing w:line="600" w:lineRule="exact"/>
        <w:ind w:firstLine="600"/>
        <w:jc w:val="left"/>
        <w:rPr>
          <w:rFonts w:hint="eastAsia" w:ascii="Times New Roman" w:hAnsi="Times New Roman" w:eastAsia="仿宋_GB2312" w:cs="仿宋_GB2312"/>
          <w:sz w:val="30"/>
          <w:szCs w:val="30"/>
          <w:highlight w:val="none"/>
          <w:lang w:val="en-US" w:eastAsia="zh-CN"/>
        </w:rPr>
      </w:pPr>
      <w:r>
        <w:rPr>
          <w:rFonts w:hint="eastAsia" w:ascii="Times New Roman" w:hAnsi="Times New Roman" w:eastAsia="仿宋_GB2312" w:cs="仿宋_GB2312"/>
          <w:sz w:val="30"/>
          <w:szCs w:val="30"/>
          <w:highlight w:val="none"/>
          <w:lang w:eastAsia="zh-CN"/>
        </w:rPr>
        <w:t>天津市第一中心医院</w:t>
      </w:r>
      <w:r>
        <w:rPr>
          <w:rFonts w:hint="eastAsia" w:ascii="Times New Roman" w:hAnsi="Times New Roman" w:eastAsia="仿宋_GB2312" w:cs="Times New Roman"/>
          <w:sz w:val="30"/>
          <w:szCs w:val="30"/>
          <w:highlight w:val="none"/>
          <w:lang w:eastAsia="zh-CN"/>
        </w:rPr>
        <w:t>2023</w:t>
      </w:r>
      <w:r>
        <w:rPr>
          <w:rFonts w:hint="eastAsia" w:ascii="Times New Roman" w:hAnsi="Times New Roman" w:eastAsia="仿宋_GB2312" w:cs="仿宋_GB2312"/>
          <w:sz w:val="30"/>
          <w:szCs w:val="30"/>
          <w:highlight w:val="none"/>
          <w:lang w:val="zh-CN"/>
        </w:rPr>
        <w:t>年度本年收入合计</w:t>
      </w:r>
      <w:r>
        <w:rPr>
          <w:rFonts w:hint="eastAsia" w:ascii="Times New Roman" w:hAnsi="Times New Roman" w:eastAsia="仿宋_GB2312" w:cs="Times New Roman"/>
          <w:sz w:val="30"/>
          <w:szCs w:val="30"/>
          <w:highlight w:val="none"/>
          <w:lang w:eastAsia="zh-CN"/>
        </w:rPr>
        <w:t>4,103,861,547.43</w:t>
      </w:r>
      <w:r>
        <w:rPr>
          <w:rFonts w:hint="eastAsia" w:ascii="Times New Roman" w:hAnsi="Times New Roman" w:eastAsia="仿宋_GB2312" w:cs="仿宋_GB2312"/>
          <w:sz w:val="30"/>
          <w:szCs w:val="30"/>
          <w:highlight w:val="none"/>
        </w:rPr>
        <w:t>元，与</w:t>
      </w:r>
      <w:r>
        <w:rPr>
          <w:rFonts w:hint="eastAsia" w:ascii="Times New Roman" w:hAnsi="Times New Roman" w:eastAsia="仿宋_GB2312" w:cs="Times New Roman"/>
          <w:sz w:val="30"/>
          <w:szCs w:val="30"/>
          <w:highlight w:val="none"/>
          <w:lang w:eastAsia="zh-CN"/>
        </w:rPr>
        <w:t>2022</w:t>
      </w:r>
      <w:r>
        <w:rPr>
          <w:rFonts w:hint="eastAsia" w:ascii="Times New Roman" w:hAnsi="Times New Roman" w:eastAsia="仿宋_GB2312" w:cs="仿宋_GB2312"/>
          <w:sz w:val="30"/>
          <w:szCs w:val="30"/>
          <w:highlight w:val="none"/>
        </w:rPr>
        <w:t>年度相比</w:t>
      </w:r>
      <w:r>
        <w:rPr>
          <w:rFonts w:hint="eastAsia" w:ascii="Times New Roman" w:hAnsi="Times New Roman" w:eastAsia="仿宋_GB2312" w:cs="仿宋_GB2312"/>
          <w:sz w:val="30"/>
          <w:szCs w:val="30"/>
          <w:highlight w:val="none"/>
          <w:lang w:eastAsia="zh-CN"/>
        </w:rPr>
        <w:t>增加1,079,073,592.67</w:t>
      </w:r>
      <w:r>
        <w:rPr>
          <w:rFonts w:hint="eastAsia" w:ascii="Times New Roman" w:hAnsi="Times New Roman" w:eastAsia="仿宋_GB2312" w:cs="仿宋_GB2312"/>
          <w:sz w:val="30"/>
          <w:szCs w:val="30"/>
          <w:highlight w:val="none"/>
        </w:rPr>
        <w:t>元，</w:t>
      </w:r>
      <w:r>
        <w:rPr>
          <w:rFonts w:hint="eastAsia" w:ascii="Times New Roman" w:hAnsi="Times New Roman" w:eastAsia="仿宋_GB2312" w:cs="仿宋_GB2312"/>
          <w:kern w:val="0"/>
          <w:sz w:val="30"/>
          <w:szCs w:val="30"/>
          <w:highlight w:val="none"/>
          <w:lang w:val="zh-CN"/>
        </w:rPr>
        <w:t>主要原因是</w:t>
      </w:r>
      <w:r>
        <w:rPr>
          <w:rFonts w:hint="eastAsia" w:ascii="Times New Roman" w:hAnsi="Times New Roman" w:eastAsia="仿宋_GB2312" w:cs="仿宋_GB2312"/>
          <w:kern w:val="0"/>
          <w:sz w:val="30"/>
          <w:szCs w:val="30"/>
          <w:highlight w:val="none"/>
        </w:rPr>
        <w:t>：</w:t>
      </w:r>
      <w:r>
        <w:rPr>
          <w:rFonts w:hint="eastAsia" w:ascii="Times New Roman" w:hAnsi="Times New Roman" w:eastAsia="仿宋_GB2312" w:cs="仿宋_GB2312"/>
          <w:kern w:val="0"/>
          <w:sz w:val="30"/>
          <w:szCs w:val="30"/>
          <w:highlight w:val="none"/>
          <w:lang w:eastAsia="zh-CN"/>
        </w:rPr>
        <w:t>本年度新院区开诊，接诊能力提升，医疗收入增加。</w:t>
      </w:r>
      <w:r>
        <w:rPr>
          <w:rFonts w:hint="eastAsia" w:ascii="Times New Roman" w:hAnsi="Times New Roman" w:eastAsia="仿宋_GB2312" w:cs="仿宋_GB2312"/>
          <w:sz w:val="30"/>
          <w:szCs w:val="30"/>
          <w:highlight w:val="none"/>
        </w:rPr>
        <w:t>其中：</w:t>
      </w:r>
      <w:r>
        <w:rPr>
          <w:rFonts w:ascii="Times New Roman" w:hAnsi="Times New Roman" w:eastAsia="仿宋_GB2312" w:cs="仿宋_GB2312"/>
          <w:sz w:val="30"/>
          <w:szCs w:val="30"/>
          <w:highlight w:val="none"/>
          <w:lang w:val="zh-CN"/>
        </w:rPr>
        <w:t>一般公共预算财政拨款收入</w:t>
      </w:r>
      <w:r>
        <w:rPr>
          <w:rFonts w:hint="eastAsia" w:ascii="Times New Roman" w:hAnsi="Times New Roman" w:eastAsia="仿宋_GB2312" w:cs="Times New Roman"/>
          <w:sz w:val="30"/>
          <w:szCs w:val="30"/>
          <w:highlight w:val="none"/>
          <w:lang w:eastAsia="zh-CN"/>
        </w:rPr>
        <w:t>416,761,293.51</w:t>
      </w:r>
      <w:r>
        <w:rPr>
          <w:rFonts w:hint="eastAsia" w:ascii="Times New Roman" w:hAnsi="Times New Roman" w:eastAsia="仿宋_GB2312" w:cs="仿宋_GB2312"/>
          <w:sz w:val="30"/>
          <w:szCs w:val="30"/>
          <w:highlight w:val="none"/>
          <w:lang w:val="zh-CN"/>
        </w:rPr>
        <w:t>元</w:t>
      </w:r>
      <w:r>
        <w:rPr>
          <w:rFonts w:ascii="Times New Roman" w:hAnsi="Times New Roman" w:eastAsia="仿宋_GB2312" w:cs="仿宋_GB2312"/>
          <w:sz w:val="30"/>
          <w:szCs w:val="30"/>
          <w:highlight w:val="none"/>
          <w:lang w:val="zh-CN"/>
        </w:rPr>
        <w:t>，占</w:t>
      </w:r>
      <w:r>
        <w:rPr>
          <w:rFonts w:hint="eastAsia" w:ascii="Times New Roman" w:hAnsi="Times New Roman" w:eastAsia="仿宋_GB2312" w:cs="Times New Roman"/>
          <w:sz w:val="30"/>
          <w:szCs w:val="30"/>
          <w:highlight w:val="none"/>
          <w:lang w:eastAsia="zh-CN"/>
        </w:rPr>
        <w:t>10.16</w:t>
      </w:r>
      <w:r>
        <w:rPr>
          <w:rFonts w:hint="eastAsia" w:ascii="Times New Roman" w:hAnsi="Times New Roman" w:eastAsia="宋体" w:cs="Times New Roman"/>
          <w:sz w:val="30"/>
          <w:szCs w:val="30"/>
          <w:highlight w:val="none"/>
          <w:lang w:eastAsia="zh-CN"/>
        </w:rPr>
        <w:t>%；</w:t>
      </w:r>
      <w:r>
        <w:rPr>
          <w:rFonts w:ascii="Times New Roman" w:hAnsi="Times New Roman" w:eastAsia="仿宋_GB2312" w:cs="仿宋_GB2312"/>
          <w:sz w:val="30"/>
          <w:szCs w:val="30"/>
          <w:highlight w:val="none"/>
          <w:lang w:val="zh-CN"/>
        </w:rPr>
        <w:t>政府性基金预算财政拨款收入</w:t>
      </w:r>
      <w:r>
        <w:rPr>
          <w:rFonts w:hint="eastAsia" w:ascii="Times New Roman" w:hAnsi="Times New Roman" w:eastAsia="仿宋_GB2312" w:cs="仿宋_GB2312"/>
          <w:sz w:val="30"/>
          <w:szCs w:val="30"/>
          <w:highlight w:val="none"/>
          <w:lang w:val="zh-CN"/>
        </w:rPr>
        <w:t>63,320,000.00元</w:t>
      </w:r>
      <w:r>
        <w:rPr>
          <w:rFonts w:ascii="Times New Roman" w:hAnsi="Times New Roman" w:eastAsia="仿宋_GB2312" w:cs="仿宋_GB2312"/>
          <w:sz w:val="30"/>
          <w:szCs w:val="30"/>
          <w:highlight w:val="none"/>
          <w:lang w:val="zh-CN"/>
        </w:rPr>
        <w:t>，</w:t>
      </w:r>
      <w:r>
        <w:rPr>
          <w:rFonts w:hint="eastAsia" w:ascii="Times New Roman" w:hAnsi="Times New Roman" w:eastAsia="仿宋_GB2312" w:cs="仿宋_GB2312"/>
          <w:kern w:val="0"/>
          <w:sz w:val="30"/>
          <w:szCs w:val="30"/>
          <w:highlight w:val="none"/>
          <w:lang w:eastAsia="zh-CN"/>
        </w:rPr>
        <w:t>占</w:t>
      </w:r>
      <w:r>
        <w:rPr>
          <w:rFonts w:hint="eastAsia" w:ascii="Times New Roman" w:hAnsi="Times New Roman" w:eastAsia="仿宋_GB2312" w:cs="仿宋_GB2312"/>
          <w:sz w:val="30"/>
          <w:szCs w:val="30"/>
          <w:highlight w:val="none"/>
          <w:lang w:val="zh-CN"/>
        </w:rPr>
        <w:t>1.54%；</w:t>
      </w:r>
      <w:r>
        <w:rPr>
          <w:rFonts w:ascii="Times New Roman" w:hAnsi="Times New Roman" w:eastAsia="仿宋_GB2312" w:cs="仿宋_GB2312"/>
          <w:sz w:val="30"/>
          <w:szCs w:val="30"/>
          <w:highlight w:val="none"/>
          <w:lang w:val="zh-CN"/>
        </w:rPr>
        <w:t>国有资本经营预算财政拨款收入</w:t>
      </w:r>
      <w:r>
        <w:rPr>
          <w:rFonts w:hint="eastAsia" w:ascii="Times New Roman" w:hAnsi="Times New Roman" w:eastAsia="仿宋_GB2312" w:cs="仿宋_GB2312"/>
          <w:sz w:val="30"/>
          <w:szCs w:val="30"/>
          <w:highlight w:val="none"/>
          <w:lang w:val="zh-CN"/>
        </w:rPr>
        <w:t>0.00元</w:t>
      </w:r>
      <w:r>
        <w:rPr>
          <w:rFonts w:ascii="Times New Roman" w:hAnsi="Times New Roman" w:eastAsia="仿宋_GB2312" w:cs="仿宋_GB2312"/>
          <w:sz w:val="30"/>
          <w:szCs w:val="30"/>
          <w:highlight w:val="none"/>
          <w:lang w:val="zh-CN"/>
        </w:rPr>
        <w:t>，</w:t>
      </w:r>
      <w:r>
        <w:rPr>
          <w:rFonts w:hint="eastAsia" w:ascii="Times New Roman" w:hAnsi="Times New Roman" w:eastAsia="仿宋_GB2312" w:cs="仿宋_GB2312"/>
          <w:kern w:val="0"/>
          <w:sz w:val="30"/>
          <w:szCs w:val="30"/>
          <w:highlight w:val="none"/>
          <w:lang w:eastAsia="zh-CN"/>
        </w:rPr>
        <w:t>占</w:t>
      </w:r>
      <w:r>
        <w:rPr>
          <w:rFonts w:hint="eastAsia" w:ascii="Times New Roman" w:hAnsi="Times New Roman" w:eastAsia="仿宋_GB2312" w:cs="仿宋_GB2312"/>
          <w:sz w:val="30"/>
          <w:szCs w:val="30"/>
          <w:highlight w:val="none"/>
          <w:lang w:val="zh-CN"/>
        </w:rPr>
        <w:t>0.0%；</w:t>
      </w:r>
      <w:r>
        <w:rPr>
          <w:rFonts w:ascii="Times New Roman" w:hAnsi="Times New Roman" w:eastAsia="仿宋_GB2312" w:cs="仿宋_GB2312"/>
          <w:sz w:val="30"/>
          <w:szCs w:val="30"/>
          <w:highlight w:val="none"/>
          <w:lang w:val="zh-CN"/>
        </w:rPr>
        <w:t>财政专户管理资金收入</w:t>
      </w:r>
      <w:r>
        <w:rPr>
          <w:rFonts w:hint="eastAsia" w:ascii="Times New Roman" w:hAnsi="Times New Roman" w:eastAsia="仿宋_GB2312" w:cs="仿宋_GB2312"/>
          <w:sz w:val="30"/>
          <w:szCs w:val="30"/>
          <w:highlight w:val="none"/>
          <w:lang w:val="zh-CN"/>
        </w:rPr>
        <w:t>0.00元</w:t>
      </w:r>
      <w:r>
        <w:rPr>
          <w:rFonts w:ascii="Times New Roman" w:hAnsi="Times New Roman" w:eastAsia="仿宋_GB2312" w:cs="仿宋_GB2312"/>
          <w:sz w:val="30"/>
          <w:szCs w:val="30"/>
          <w:highlight w:val="none"/>
          <w:lang w:val="zh-CN"/>
        </w:rPr>
        <w:t>，</w:t>
      </w:r>
      <w:r>
        <w:rPr>
          <w:rFonts w:hint="eastAsia" w:ascii="Times New Roman" w:hAnsi="Times New Roman" w:eastAsia="仿宋_GB2312" w:cs="仿宋_GB2312"/>
          <w:kern w:val="0"/>
          <w:sz w:val="30"/>
          <w:szCs w:val="30"/>
          <w:highlight w:val="none"/>
          <w:lang w:eastAsia="zh-CN"/>
        </w:rPr>
        <w:t>占</w:t>
      </w:r>
      <w:r>
        <w:rPr>
          <w:rFonts w:hint="eastAsia" w:ascii="Times New Roman" w:hAnsi="Times New Roman" w:eastAsia="仿宋_GB2312" w:cs="仿宋_GB2312"/>
          <w:sz w:val="30"/>
          <w:szCs w:val="30"/>
          <w:highlight w:val="none"/>
          <w:lang w:val="zh-CN"/>
        </w:rPr>
        <w:t>0.0%；</w:t>
      </w:r>
      <w:r>
        <w:rPr>
          <w:rFonts w:ascii="Times New Roman" w:hAnsi="Times New Roman" w:eastAsia="仿宋_GB2312" w:cs="仿宋_GB2312"/>
          <w:sz w:val="30"/>
          <w:szCs w:val="30"/>
          <w:highlight w:val="none"/>
          <w:lang w:val="zh-CN"/>
        </w:rPr>
        <w:t>事业收入</w:t>
      </w:r>
      <w:r>
        <w:rPr>
          <w:rFonts w:hint="eastAsia" w:ascii="Times New Roman" w:hAnsi="Times New Roman" w:eastAsia="仿宋_GB2312" w:cs="仿宋_GB2312"/>
          <w:sz w:val="30"/>
          <w:szCs w:val="30"/>
          <w:highlight w:val="none"/>
          <w:lang w:val="zh-CN"/>
        </w:rPr>
        <w:t>3,132,641,458.53元</w:t>
      </w:r>
      <w:r>
        <w:rPr>
          <w:rFonts w:ascii="Times New Roman" w:hAnsi="Times New Roman" w:eastAsia="仿宋_GB2312" w:cs="仿宋_GB2312"/>
          <w:sz w:val="30"/>
          <w:szCs w:val="30"/>
          <w:highlight w:val="none"/>
          <w:lang w:val="zh-CN"/>
        </w:rPr>
        <w:t>，</w:t>
      </w:r>
      <w:r>
        <w:rPr>
          <w:rFonts w:hint="eastAsia" w:ascii="Times New Roman" w:hAnsi="Times New Roman" w:eastAsia="仿宋_GB2312" w:cs="仿宋_GB2312"/>
          <w:kern w:val="0"/>
          <w:sz w:val="30"/>
          <w:szCs w:val="30"/>
          <w:highlight w:val="none"/>
          <w:lang w:eastAsia="zh-CN"/>
        </w:rPr>
        <w:t>占</w:t>
      </w:r>
      <w:r>
        <w:rPr>
          <w:rFonts w:hint="eastAsia" w:ascii="Times New Roman" w:hAnsi="Times New Roman" w:eastAsia="仿宋_GB2312" w:cs="仿宋_GB2312"/>
          <w:sz w:val="30"/>
          <w:szCs w:val="30"/>
          <w:highlight w:val="none"/>
          <w:lang w:val="zh-CN"/>
        </w:rPr>
        <w:t>76.33%；</w:t>
      </w:r>
      <w:r>
        <w:rPr>
          <w:rFonts w:ascii="Times New Roman" w:hAnsi="Times New Roman" w:eastAsia="仿宋_GB2312" w:cs="仿宋_GB2312"/>
          <w:sz w:val="30"/>
          <w:szCs w:val="30"/>
          <w:highlight w:val="none"/>
          <w:lang w:val="zh-CN"/>
        </w:rPr>
        <w:t>事业单位经营收入</w:t>
      </w:r>
      <w:r>
        <w:rPr>
          <w:rFonts w:hint="eastAsia" w:ascii="Times New Roman" w:hAnsi="Times New Roman" w:eastAsia="仿宋_GB2312" w:cs="仿宋_GB2312"/>
          <w:sz w:val="30"/>
          <w:szCs w:val="30"/>
          <w:highlight w:val="none"/>
          <w:lang w:val="zh-CN"/>
        </w:rPr>
        <w:t>0.00元</w:t>
      </w:r>
      <w:r>
        <w:rPr>
          <w:rFonts w:ascii="Times New Roman" w:hAnsi="Times New Roman" w:eastAsia="仿宋_GB2312" w:cs="仿宋_GB2312"/>
          <w:sz w:val="30"/>
          <w:szCs w:val="30"/>
          <w:highlight w:val="none"/>
          <w:lang w:val="zh-CN"/>
        </w:rPr>
        <w:t>，</w:t>
      </w:r>
      <w:r>
        <w:rPr>
          <w:rFonts w:hint="eastAsia" w:ascii="Times New Roman" w:hAnsi="Times New Roman" w:eastAsia="仿宋_GB2312" w:cs="仿宋_GB2312"/>
          <w:kern w:val="0"/>
          <w:sz w:val="30"/>
          <w:szCs w:val="30"/>
          <w:highlight w:val="none"/>
          <w:lang w:eastAsia="zh-CN"/>
        </w:rPr>
        <w:t>占</w:t>
      </w:r>
      <w:r>
        <w:rPr>
          <w:rFonts w:hint="eastAsia" w:ascii="Times New Roman" w:hAnsi="Times New Roman" w:eastAsia="仿宋_GB2312" w:cs="仿宋_GB2312"/>
          <w:sz w:val="30"/>
          <w:szCs w:val="30"/>
          <w:highlight w:val="none"/>
          <w:lang w:val="zh-CN"/>
        </w:rPr>
        <w:t>0.0%；</w:t>
      </w:r>
      <w:r>
        <w:rPr>
          <w:rFonts w:ascii="Times New Roman" w:hAnsi="Times New Roman" w:eastAsia="仿宋_GB2312" w:cs="仿宋_GB2312"/>
          <w:sz w:val="30"/>
          <w:szCs w:val="30"/>
          <w:highlight w:val="none"/>
          <w:lang w:val="zh-CN"/>
        </w:rPr>
        <w:t>上级补助收入</w:t>
      </w:r>
      <w:r>
        <w:rPr>
          <w:rFonts w:hint="eastAsia" w:ascii="Times New Roman" w:hAnsi="Times New Roman" w:eastAsia="仿宋_GB2312" w:cs="仿宋_GB2312"/>
          <w:sz w:val="30"/>
          <w:szCs w:val="30"/>
          <w:highlight w:val="none"/>
          <w:lang w:val="zh-CN"/>
        </w:rPr>
        <w:t>0.00元</w:t>
      </w:r>
      <w:r>
        <w:rPr>
          <w:rFonts w:ascii="Times New Roman" w:hAnsi="Times New Roman" w:eastAsia="仿宋_GB2312" w:cs="仿宋_GB2312"/>
          <w:sz w:val="30"/>
          <w:szCs w:val="30"/>
          <w:highlight w:val="none"/>
          <w:lang w:val="zh-CN"/>
        </w:rPr>
        <w:t>，</w:t>
      </w:r>
      <w:r>
        <w:rPr>
          <w:rFonts w:hint="eastAsia" w:ascii="Times New Roman" w:hAnsi="Times New Roman" w:eastAsia="仿宋_GB2312" w:cs="仿宋_GB2312"/>
          <w:kern w:val="0"/>
          <w:sz w:val="30"/>
          <w:szCs w:val="30"/>
          <w:highlight w:val="none"/>
          <w:lang w:eastAsia="zh-CN"/>
        </w:rPr>
        <w:t>占</w:t>
      </w:r>
      <w:r>
        <w:rPr>
          <w:rFonts w:hint="eastAsia" w:ascii="Times New Roman" w:hAnsi="Times New Roman" w:eastAsia="仿宋_GB2312" w:cs="仿宋_GB2312"/>
          <w:sz w:val="30"/>
          <w:szCs w:val="30"/>
          <w:highlight w:val="none"/>
          <w:lang w:val="zh-CN"/>
        </w:rPr>
        <w:t>0.0%；</w:t>
      </w:r>
      <w:r>
        <w:rPr>
          <w:rFonts w:eastAsia="仿宋_GB2312"/>
          <w:sz w:val="30"/>
          <w:szCs w:val="30"/>
          <w:highlight w:val="none"/>
        </w:rPr>
        <w:t>附属单位上缴收入</w:t>
      </w:r>
      <w:r>
        <w:rPr>
          <w:rFonts w:hint="eastAsia" w:ascii="Times New Roman" w:hAnsi="Times New Roman" w:eastAsia="仿宋_GB2312" w:cs="仿宋_GB2312"/>
          <w:sz w:val="30"/>
          <w:szCs w:val="30"/>
          <w:highlight w:val="none"/>
          <w:lang w:val="zh-CN"/>
        </w:rPr>
        <w:t>0.00元</w:t>
      </w:r>
      <w:r>
        <w:rPr>
          <w:rFonts w:ascii="Times New Roman" w:hAnsi="Times New Roman" w:eastAsia="仿宋_GB2312" w:cs="仿宋_GB2312"/>
          <w:sz w:val="30"/>
          <w:szCs w:val="30"/>
          <w:highlight w:val="none"/>
          <w:lang w:val="zh-CN"/>
        </w:rPr>
        <w:t>，</w:t>
      </w:r>
      <w:r>
        <w:rPr>
          <w:rFonts w:hint="eastAsia" w:ascii="Times New Roman" w:hAnsi="Times New Roman" w:eastAsia="仿宋_GB2312" w:cs="仿宋_GB2312"/>
          <w:kern w:val="0"/>
          <w:sz w:val="30"/>
          <w:szCs w:val="30"/>
          <w:highlight w:val="none"/>
          <w:lang w:eastAsia="zh-CN"/>
        </w:rPr>
        <w:t>占</w:t>
      </w:r>
      <w:r>
        <w:rPr>
          <w:rFonts w:hint="eastAsia" w:ascii="Times New Roman" w:hAnsi="Times New Roman" w:eastAsia="仿宋_GB2312" w:cs="仿宋_GB2312"/>
          <w:sz w:val="30"/>
          <w:szCs w:val="30"/>
          <w:highlight w:val="none"/>
          <w:lang w:val="zh-CN"/>
        </w:rPr>
        <w:t>0.0%；</w:t>
      </w:r>
      <w:r>
        <w:rPr>
          <w:rFonts w:ascii="Times New Roman" w:hAnsi="Times New Roman" w:eastAsia="仿宋_GB2312" w:cs="仿宋_GB2312"/>
          <w:sz w:val="30"/>
          <w:szCs w:val="30"/>
          <w:highlight w:val="none"/>
          <w:lang w:val="zh-CN"/>
        </w:rPr>
        <w:t>其他收入</w:t>
      </w:r>
      <w:r>
        <w:rPr>
          <w:rFonts w:hint="eastAsia" w:ascii="Times New Roman" w:hAnsi="Times New Roman" w:eastAsia="仿宋_GB2312" w:cs="仿宋_GB2312"/>
          <w:sz w:val="30"/>
          <w:szCs w:val="30"/>
          <w:highlight w:val="none"/>
          <w:lang w:val="zh-CN"/>
        </w:rPr>
        <w:t>491,138,795.39元</w:t>
      </w:r>
      <w:r>
        <w:rPr>
          <w:rFonts w:ascii="Times New Roman" w:hAnsi="Times New Roman" w:eastAsia="仿宋_GB2312" w:cs="仿宋_GB2312"/>
          <w:sz w:val="30"/>
          <w:szCs w:val="30"/>
          <w:highlight w:val="none"/>
          <w:lang w:val="zh-CN"/>
        </w:rPr>
        <w:t>，</w:t>
      </w:r>
      <w:r>
        <w:rPr>
          <w:rFonts w:hint="eastAsia" w:ascii="Times New Roman" w:hAnsi="Times New Roman" w:eastAsia="仿宋_GB2312" w:cs="仿宋_GB2312"/>
          <w:kern w:val="0"/>
          <w:sz w:val="30"/>
          <w:szCs w:val="30"/>
          <w:highlight w:val="none"/>
          <w:lang w:eastAsia="zh-CN"/>
        </w:rPr>
        <w:t>占</w:t>
      </w:r>
      <w:r>
        <w:rPr>
          <w:rFonts w:hint="eastAsia" w:ascii="Times New Roman" w:hAnsi="Times New Roman" w:eastAsia="仿宋_GB2312" w:cs="仿宋_GB2312"/>
          <w:sz w:val="30"/>
          <w:szCs w:val="30"/>
          <w:highlight w:val="none"/>
          <w:lang w:val="zh-CN"/>
        </w:rPr>
        <w:t>11.97%</w:t>
      </w:r>
      <w:r>
        <w:rPr>
          <w:rFonts w:hint="eastAsia" w:ascii="Times New Roman" w:hAnsi="Times New Roman" w:eastAsia="仿宋_GB2312" w:cs="仿宋_GB2312"/>
          <w:sz w:val="30"/>
          <w:szCs w:val="30"/>
          <w:highlight w:val="none"/>
          <w:lang w:val="zh-CN" w:eastAsia="zh-CN"/>
        </w:rPr>
        <w:t>。</w:t>
      </w:r>
    </w:p>
    <w:p w14:paraId="463C3971">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highlight w:val="none"/>
        </w:rPr>
      </w:pPr>
      <w:r>
        <w:rPr>
          <w:rFonts w:hint="eastAsia" w:ascii="Times New Roman" w:hAnsi="Times New Roman" w:eastAsia="黑体" w:cs="黑体"/>
          <w:b/>
          <w:bCs/>
          <w:kern w:val="0"/>
          <w:sz w:val="30"/>
          <w:szCs w:val="30"/>
          <w:highlight w:val="none"/>
          <w:lang w:val="zh-CN"/>
        </w:rPr>
        <w:t>三、支出</w:t>
      </w:r>
      <w:r>
        <w:rPr>
          <w:rFonts w:hint="eastAsia" w:ascii="Times New Roman" w:hAnsi="Times New Roman" w:eastAsia="黑体" w:cs="黑体"/>
          <w:b/>
          <w:bCs/>
          <w:kern w:val="0"/>
          <w:sz w:val="30"/>
          <w:szCs w:val="30"/>
          <w:highlight w:val="none"/>
        </w:rPr>
        <w:t>决算情况说明</w:t>
      </w:r>
    </w:p>
    <w:p w14:paraId="54F78E94">
      <w:pPr>
        <w:autoSpaceDE w:val="0"/>
        <w:autoSpaceDN w:val="0"/>
        <w:adjustRightInd w:val="0"/>
        <w:spacing w:line="580" w:lineRule="exact"/>
        <w:ind w:firstLine="600"/>
        <w:jc w:val="left"/>
        <w:rPr>
          <w:rFonts w:ascii="Times New Roman" w:hAnsi="Times New Roman" w:eastAsia="黑体" w:cs="黑体"/>
          <w:sz w:val="30"/>
          <w:szCs w:val="30"/>
          <w:highlight w:val="none"/>
          <w:lang w:val="zh-CN"/>
        </w:rPr>
      </w:pPr>
      <w:r>
        <w:rPr>
          <w:rFonts w:hint="eastAsia" w:ascii="Times New Roman" w:hAnsi="Times New Roman" w:eastAsia="仿宋_GB2312" w:cs="仿宋_GB2312"/>
          <w:sz w:val="30"/>
          <w:szCs w:val="30"/>
          <w:highlight w:val="none"/>
          <w:lang w:eastAsia="zh-CN"/>
        </w:rPr>
        <w:t>天津市第一中心医院</w:t>
      </w:r>
      <w:r>
        <w:rPr>
          <w:rFonts w:hint="eastAsia" w:ascii="Times New Roman" w:hAnsi="Times New Roman" w:eastAsia="宋体" w:cs="宋体"/>
          <w:sz w:val="30"/>
          <w:szCs w:val="30"/>
          <w:highlight w:val="none"/>
          <w:lang w:eastAsia="zh-CN"/>
        </w:rPr>
        <w:t>2023</w:t>
      </w:r>
      <w:r>
        <w:rPr>
          <w:rFonts w:hint="eastAsia" w:ascii="Times New Roman" w:hAnsi="Times New Roman" w:eastAsia="仿宋_GB2312" w:cs="仿宋_GB2312"/>
          <w:sz w:val="30"/>
          <w:szCs w:val="30"/>
          <w:highlight w:val="none"/>
        </w:rPr>
        <w:t>年度本年支出合计</w:t>
      </w:r>
      <w:r>
        <w:rPr>
          <w:rFonts w:hint="eastAsia" w:ascii="Times New Roman" w:hAnsi="Times New Roman" w:eastAsia="仿宋_GB2312" w:cs="仿宋_GB2312"/>
          <w:sz w:val="30"/>
          <w:szCs w:val="30"/>
          <w:highlight w:val="none"/>
          <w:lang w:eastAsia="zh-CN"/>
        </w:rPr>
        <w:t>4,084,829,160.44</w:t>
      </w:r>
      <w:r>
        <w:rPr>
          <w:rFonts w:hint="eastAsia" w:ascii="Times New Roman" w:hAnsi="Times New Roman" w:eastAsia="仿宋_GB2312" w:cs="仿宋_GB2312"/>
          <w:sz w:val="30"/>
          <w:szCs w:val="30"/>
          <w:highlight w:val="none"/>
        </w:rPr>
        <w:t>元，与</w:t>
      </w:r>
      <w:r>
        <w:rPr>
          <w:rFonts w:hint="eastAsia" w:ascii="Times New Roman" w:hAnsi="Times New Roman" w:eastAsia="仿宋_GB2312" w:cs="Times New Roman"/>
          <w:sz w:val="30"/>
          <w:szCs w:val="30"/>
          <w:highlight w:val="none"/>
          <w:lang w:eastAsia="zh-CN"/>
        </w:rPr>
        <w:t>2022</w:t>
      </w:r>
      <w:r>
        <w:rPr>
          <w:rFonts w:hint="eastAsia" w:ascii="Times New Roman" w:hAnsi="Times New Roman" w:eastAsia="仿宋_GB2312" w:cs="仿宋_GB2312"/>
          <w:sz w:val="30"/>
          <w:szCs w:val="30"/>
          <w:highlight w:val="none"/>
        </w:rPr>
        <w:t>年度相比</w:t>
      </w:r>
      <w:r>
        <w:rPr>
          <w:rFonts w:hint="eastAsia" w:ascii="Times New Roman" w:hAnsi="Times New Roman" w:eastAsia="仿宋_GB2312" w:cs="仿宋_GB2312"/>
          <w:sz w:val="30"/>
          <w:szCs w:val="30"/>
          <w:highlight w:val="none"/>
          <w:lang w:val="en-US" w:eastAsia="zh-CN"/>
        </w:rPr>
        <w:t>增加</w:t>
      </w:r>
      <w:r>
        <w:rPr>
          <w:rFonts w:hint="eastAsia" w:ascii="Times New Roman" w:hAnsi="Times New Roman" w:eastAsia="仿宋_GB2312" w:cs="仿宋_GB2312"/>
          <w:sz w:val="30"/>
          <w:szCs w:val="30"/>
          <w:highlight w:val="none"/>
          <w:lang w:eastAsia="zh-CN"/>
        </w:rPr>
        <w:t>1,082,763,664.45</w:t>
      </w:r>
      <w:r>
        <w:rPr>
          <w:rFonts w:hint="eastAsia" w:ascii="Times New Roman" w:hAnsi="Times New Roman" w:eastAsia="仿宋_GB2312" w:cs="仿宋_GB2312"/>
          <w:sz w:val="30"/>
          <w:szCs w:val="30"/>
          <w:highlight w:val="none"/>
        </w:rPr>
        <w:t>元，</w:t>
      </w:r>
      <w:r>
        <w:rPr>
          <w:rFonts w:hint="eastAsia" w:ascii="Times New Roman" w:hAnsi="Times New Roman" w:eastAsia="仿宋_GB2312" w:cs="仿宋_GB2312"/>
          <w:sz w:val="30"/>
          <w:szCs w:val="30"/>
          <w:highlight w:val="none"/>
          <w:lang w:val="zh-CN"/>
        </w:rPr>
        <w:t>主要原因是</w:t>
      </w:r>
      <w:r>
        <w:rPr>
          <w:rFonts w:hint="eastAsia" w:ascii="Times New Roman" w:hAnsi="Times New Roman" w:eastAsia="仿宋_GB2312" w:cs="仿宋_GB2312"/>
          <w:sz w:val="30"/>
          <w:szCs w:val="30"/>
          <w:highlight w:val="none"/>
        </w:rPr>
        <w:t>：</w:t>
      </w:r>
      <w:r>
        <w:rPr>
          <w:rFonts w:hint="eastAsia" w:ascii="Times New Roman" w:hAnsi="Times New Roman" w:eastAsia="仿宋_GB2312" w:cs="仿宋_GB2312"/>
          <w:kern w:val="0"/>
          <w:sz w:val="30"/>
          <w:szCs w:val="30"/>
          <w:highlight w:val="none"/>
          <w:lang w:eastAsia="zh-CN"/>
        </w:rPr>
        <w:t>本年度新院区开诊，双院区运行，人员费用和购置设备资本性支出增大。</w:t>
      </w:r>
      <w:r>
        <w:rPr>
          <w:rFonts w:hint="eastAsia" w:ascii="Times New Roman" w:hAnsi="Times New Roman" w:eastAsia="仿宋_GB2312" w:cs="仿宋_GB2312"/>
          <w:sz w:val="30"/>
          <w:szCs w:val="30"/>
          <w:highlight w:val="none"/>
        </w:rPr>
        <w:t>其中：</w:t>
      </w:r>
      <w:r>
        <w:rPr>
          <w:rFonts w:ascii="Times New Roman" w:hAnsi="Times New Roman" w:eastAsia="仿宋_GB2312" w:cs="仿宋_GB2312"/>
          <w:sz w:val="30"/>
          <w:szCs w:val="30"/>
          <w:highlight w:val="none"/>
        </w:rPr>
        <w:t>基本支出</w:t>
      </w:r>
      <w:r>
        <w:rPr>
          <w:rFonts w:hint="eastAsia" w:ascii="Times New Roman" w:hAnsi="Times New Roman" w:eastAsia="仿宋_GB2312" w:cs="仿宋_GB2312"/>
          <w:sz w:val="30"/>
          <w:szCs w:val="30"/>
          <w:highlight w:val="none"/>
          <w:lang w:eastAsia="zh-CN"/>
        </w:rPr>
        <w:t>3,579,178,268.58元</w:t>
      </w:r>
      <w:r>
        <w:rPr>
          <w:rFonts w:ascii="Times New Roman" w:hAnsi="Times New Roman" w:eastAsia="仿宋_GB2312" w:cs="仿宋_GB2312"/>
          <w:sz w:val="30"/>
          <w:szCs w:val="30"/>
          <w:highlight w:val="none"/>
        </w:rPr>
        <w:t>，</w:t>
      </w:r>
      <w:r>
        <w:rPr>
          <w:rFonts w:hint="eastAsia" w:ascii="Times New Roman" w:hAnsi="Times New Roman" w:eastAsia="仿宋_GB2312" w:cs="仿宋_GB2312"/>
          <w:sz w:val="30"/>
          <w:szCs w:val="30"/>
          <w:highlight w:val="none"/>
          <w:lang w:eastAsia="zh-CN"/>
        </w:rPr>
        <w:t>占</w:t>
      </w:r>
      <w:r>
        <w:rPr>
          <w:rFonts w:hint="eastAsia" w:ascii="Times New Roman" w:hAnsi="Times New Roman" w:eastAsia="仿宋_GB2312" w:cs="仿宋_GB2312"/>
          <w:sz w:val="30"/>
          <w:szCs w:val="30"/>
          <w:highlight w:val="none"/>
          <w:lang w:val="en-US" w:eastAsia="zh-CN"/>
        </w:rPr>
        <w:t>87.62</w:t>
      </w:r>
      <w:r>
        <w:rPr>
          <w:rFonts w:hint="eastAsia" w:ascii="Times New Roman" w:hAnsi="Times New Roman" w:eastAsia="仿宋_GB2312" w:cs="仿宋_GB2312"/>
          <w:sz w:val="30"/>
          <w:szCs w:val="30"/>
          <w:highlight w:val="none"/>
          <w:lang w:eastAsia="zh-CN"/>
        </w:rPr>
        <w:t>%；</w:t>
      </w:r>
      <w:r>
        <w:rPr>
          <w:rFonts w:ascii="Times New Roman" w:hAnsi="Times New Roman" w:eastAsia="仿宋_GB2312" w:cs="仿宋_GB2312"/>
          <w:sz w:val="30"/>
          <w:szCs w:val="30"/>
          <w:highlight w:val="none"/>
        </w:rPr>
        <w:t>项目支出</w:t>
      </w:r>
      <w:r>
        <w:rPr>
          <w:rFonts w:hint="eastAsia" w:ascii="Times New Roman" w:hAnsi="Times New Roman" w:eastAsia="仿宋_GB2312" w:cs="仿宋_GB2312"/>
          <w:sz w:val="30"/>
          <w:szCs w:val="30"/>
          <w:highlight w:val="none"/>
          <w:lang w:eastAsia="zh-CN"/>
        </w:rPr>
        <w:t>505,650,891.86元</w:t>
      </w:r>
      <w:r>
        <w:rPr>
          <w:rFonts w:ascii="Times New Roman" w:hAnsi="Times New Roman" w:eastAsia="仿宋_GB2312" w:cs="仿宋_GB2312"/>
          <w:sz w:val="30"/>
          <w:szCs w:val="30"/>
          <w:highlight w:val="none"/>
        </w:rPr>
        <w:t>，</w:t>
      </w:r>
      <w:r>
        <w:rPr>
          <w:rFonts w:hint="eastAsia" w:ascii="Times New Roman" w:hAnsi="Times New Roman" w:eastAsia="仿宋_GB2312" w:cs="仿宋_GB2312"/>
          <w:sz w:val="30"/>
          <w:szCs w:val="30"/>
          <w:highlight w:val="none"/>
          <w:lang w:eastAsia="zh-CN"/>
        </w:rPr>
        <w:t>占12.38%；</w:t>
      </w:r>
      <w:r>
        <w:rPr>
          <w:rFonts w:ascii="Times New Roman" w:hAnsi="Times New Roman" w:eastAsia="仿宋_GB2312" w:cs="仿宋_GB2312"/>
          <w:sz w:val="30"/>
          <w:szCs w:val="30"/>
          <w:highlight w:val="none"/>
        </w:rPr>
        <w:t>上缴上级支出</w:t>
      </w:r>
      <w:r>
        <w:rPr>
          <w:rFonts w:hint="eastAsia" w:ascii="Times New Roman" w:hAnsi="Times New Roman" w:eastAsia="仿宋_GB2312" w:cs="仿宋_GB2312"/>
          <w:sz w:val="30"/>
          <w:szCs w:val="30"/>
          <w:highlight w:val="none"/>
          <w:lang w:eastAsia="zh-CN"/>
        </w:rPr>
        <w:t>0.00元</w:t>
      </w:r>
      <w:r>
        <w:rPr>
          <w:rFonts w:ascii="Times New Roman" w:hAnsi="Times New Roman" w:eastAsia="仿宋_GB2312" w:cs="仿宋_GB2312"/>
          <w:sz w:val="30"/>
          <w:szCs w:val="30"/>
          <w:highlight w:val="none"/>
        </w:rPr>
        <w:t>，</w:t>
      </w:r>
      <w:r>
        <w:rPr>
          <w:rFonts w:hint="eastAsia" w:ascii="Times New Roman" w:hAnsi="Times New Roman" w:eastAsia="仿宋_GB2312" w:cs="仿宋_GB2312"/>
          <w:sz w:val="30"/>
          <w:szCs w:val="30"/>
          <w:highlight w:val="none"/>
          <w:lang w:eastAsia="zh-CN"/>
        </w:rPr>
        <w:t>占0.0%；</w:t>
      </w:r>
      <w:r>
        <w:rPr>
          <w:rFonts w:ascii="Times New Roman" w:hAnsi="Times New Roman" w:eastAsia="仿宋_GB2312" w:cs="仿宋_GB2312"/>
          <w:sz w:val="30"/>
          <w:szCs w:val="30"/>
          <w:highlight w:val="none"/>
        </w:rPr>
        <w:t>经营支出</w:t>
      </w:r>
      <w:r>
        <w:rPr>
          <w:rFonts w:hint="eastAsia" w:ascii="Times New Roman" w:hAnsi="Times New Roman" w:eastAsia="仿宋_GB2312" w:cs="仿宋_GB2312"/>
          <w:sz w:val="30"/>
          <w:szCs w:val="30"/>
          <w:highlight w:val="none"/>
          <w:lang w:eastAsia="zh-CN"/>
        </w:rPr>
        <w:t>0.00元</w:t>
      </w:r>
      <w:r>
        <w:rPr>
          <w:rFonts w:ascii="Times New Roman" w:hAnsi="Times New Roman" w:eastAsia="仿宋_GB2312" w:cs="仿宋_GB2312"/>
          <w:sz w:val="30"/>
          <w:szCs w:val="30"/>
          <w:highlight w:val="none"/>
        </w:rPr>
        <w:t>，</w:t>
      </w:r>
      <w:r>
        <w:rPr>
          <w:rFonts w:hint="eastAsia" w:ascii="Times New Roman" w:hAnsi="Times New Roman" w:eastAsia="仿宋_GB2312" w:cs="仿宋_GB2312"/>
          <w:sz w:val="30"/>
          <w:szCs w:val="30"/>
          <w:highlight w:val="none"/>
          <w:lang w:eastAsia="zh-CN"/>
        </w:rPr>
        <w:t>占0.0%；</w:t>
      </w:r>
      <w:r>
        <w:rPr>
          <w:rFonts w:ascii="Times New Roman" w:hAnsi="Times New Roman" w:eastAsia="仿宋_GB2312" w:cs="仿宋_GB2312"/>
          <w:sz w:val="30"/>
          <w:szCs w:val="30"/>
          <w:highlight w:val="none"/>
        </w:rPr>
        <w:t>对附属单位补助支出</w:t>
      </w:r>
      <w:r>
        <w:rPr>
          <w:rFonts w:hint="eastAsia" w:ascii="Times New Roman" w:hAnsi="Times New Roman" w:eastAsia="仿宋_GB2312" w:cs="仿宋_GB2312"/>
          <w:sz w:val="30"/>
          <w:szCs w:val="30"/>
          <w:highlight w:val="none"/>
          <w:lang w:eastAsia="zh-CN"/>
        </w:rPr>
        <w:t>0.00元</w:t>
      </w:r>
      <w:r>
        <w:rPr>
          <w:rFonts w:ascii="Times New Roman" w:hAnsi="Times New Roman" w:eastAsia="仿宋_GB2312" w:cs="仿宋_GB2312"/>
          <w:sz w:val="30"/>
          <w:szCs w:val="30"/>
          <w:highlight w:val="none"/>
        </w:rPr>
        <w:t>，</w:t>
      </w:r>
      <w:r>
        <w:rPr>
          <w:rFonts w:hint="eastAsia" w:ascii="Times New Roman" w:hAnsi="Times New Roman" w:eastAsia="仿宋_GB2312" w:cs="仿宋_GB2312"/>
          <w:sz w:val="30"/>
          <w:szCs w:val="30"/>
          <w:highlight w:val="none"/>
          <w:lang w:eastAsia="zh-CN"/>
        </w:rPr>
        <w:t>占0.0%。</w:t>
      </w:r>
    </w:p>
    <w:p w14:paraId="3D9BFBE9">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highlight w:val="none"/>
          <w:lang w:val="zh-CN"/>
        </w:rPr>
      </w:pPr>
      <w:r>
        <w:rPr>
          <w:rFonts w:hint="eastAsia" w:ascii="Times New Roman" w:hAnsi="Times New Roman" w:eastAsia="黑体" w:cs="黑体"/>
          <w:b/>
          <w:bCs/>
          <w:kern w:val="0"/>
          <w:sz w:val="30"/>
          <w:szCs w:val="30"/>
          <w:highlight w:val="none"/>
          <w:lang w:val="zh-CN"/>
        </w:rPr>
        <w:t>四、财政拨款收支决算总体情况说明</w:t>
      </w:r>
    </w:p>
    <w:p w14:paraId="7551756E">
      <w:pPr>
        <w:autoSpaceDE w:val="0"/>
        <w:autoSpaceDN w:val="0"/>
        <w:adjustRightInd w:val="0"/>
        <w:spacing w:line="580" w:lineRule="exact"/>
        <w:ind w:firstLine="600"/>
        <w:jc w:val="left"/>
        <w:rPr>
          <w:rFonts w:ascii="Times New Roman" w:hAnsi="Times New Roman" w:eastAsia="仿宋_GB2312" w:cs="仿宋_GB2312"/>
          <w:sz w:val="30"/>
          <w:szCs w:val="30"/>
          <w:highlight w:val="none"/>
        </w:rPr>
      </w:pPr>
      <w:r>
        <w:rPr>
          <w:rFonts w:hint="eastAsia" w:ascii="Times New Roman" w:hAnsi="Times New Roman" w:eastAsia="仿宋_GB2312" w:cs="仿宋_GB2312"/>
          <w:sz w:val="30"/>
          <w:szCs w:val="30"/>
          <w:highlight w:val="none"/>
          <w:lang w:eastAsia="zh-CN"/>
        </w:rPr>
        <w:t>天津市第一中心医院</w:t>
      </w:r>
      <w:r>
        <w:rPr>
          <w:rFonts w:hint="eastAsia" w:ascii="Times New Roman" w:hAnsi="Times New Roman" w:eastAsia="宋体" w:cs="宋体"/>
          <w:sz w:val="30"/>
          <w:szCs w:val="30"/>
          <w:highlight w:val="none"/>
          <w:lang w:eastAsia="zh-CN"/>
        </w:rPr>
        <w:t>2023</w:t>
      </w:r>
      <w:r>
        <w:rPr>
          <w:rFonts w:hint="eastAsia" w:ascii="Times New Roman" w:hAnsi="Times New Roman" w:eastAsia="仿宋_GB2312" w:cs="仿宋_GB2312"/>
          <w:sz w:val="30"/>
          <w:szCs w:val="30"/>
          <w:highlight w:val="none"/>
        </w:rPr>
        <w:t>年度财政拨款收入、支出决算总计</w:t>
      </w:r>
      <w:r>
        <w:rPr>
          <w:rFonts w:hint="eastAsia" w:ascii="Times New Roman" w:hAnsi="Times New Roman" w:eastAsia="仿宋_GB2312" w:cs="Times New Roman"/>
          <w:sz w:val="30"/>
          <w:szCs w:val="30"/>
          <w:highlight w:val="none"/>
          <w:lang w:val="zh-CN"/>
        </w:rPr>
        <w:t>480,081,293.51</w:t>
      </w:r>
      <w:r>
        <w:rPr>
          <w:rFonts w:hint="eastAsia" w:ascii="Times New Roman" w:hAnsi="Times New Roman" w:eastAsia="仿宋_GB2312" w:cs="仿宋_GB2312"/>
          <w:sz w:val="30"/>
          <w:szCs w:val="30"/>
          <w:highlight w:val="none"/>
        </w:rPr>
        <w:t>元，与</w:t>
      </w:r>
      <w:r>
        <w:rPr>
          <w:rFonts w:hint="eastAsia" w:ascii="Times New Roman" w:hAnsi="Times New Roman" w:eastAsia="仿宋_GB2312" w:cs="Times New Roman"/>
          <w:sz w:val="30"/>
          <w:szCs w:val="30"/>
          <w:highlight w:val="none"/>
          <w:lang w:eastAsia="zh-CN"/>
        </w:rPr>
        <w:t>2022</w:t>
      </w:r>
      <w:r>
        <w:rPr>
          <w:rFonts w:hint="eastAsia" w:ascii="Times New Roman" w:hAnsi="Times New Roman" w:eastAsia="仿宋_GB2312" w:cs="仿宋_GB2312"/>
          <w:sz w:val="30"/>
          <w:szCs w:val="30"/>
          <w:highlight w:val="none"/>
        </w:rPr>
        <w:t>年度相比，财政拨款收、支总计各</w:t>
      </w:r>
      <w:r>
        <w:rPr>
          <w:rFonts w:hint="eastAsia" w:ascii="Times New Roman" w:hAnsi="Times New Roman" w:eastAsia="仿宋_GB2312" w:cs="仿宋_GB2312"/>
          <w:sz w:val="30"/>
          <w:szCs w:val="30"/>
          <w:highlight w:val="none"/>
          <w:lang w:val="en-US" w:eastAsia="zh-CN"/>
        </w:rPr>
        <w:t>增加</w:t>
      </w:r>
      <w:r>
        <w:rPr>
          <w:rFonts w:hint="eastAsia" w:ascii="Times New Roman" w:hAnsi="Times New Roman" w:eastAsia="仿宋_GB2312" w:cs="仿宋_GB2312"/>
          <w:sz w:val="30"/>
          <w:szCs w:val="30"/>
          <w:highlight w:val="none"/>
          <w:lang w:eastAsia="zh-CN"/>
        </w:rPr>
        <w:t>338,159,375.84</w:t>
      </w:r>
      <w:r>
        <w:rPr>
          <w:rFonts w:hint="eastAsia" w:ascii="Times New Roman" w:hAnsi="Times New Roman" w:eastAsia="仿宋_GB2312" w:cs="仿宋_GB2312"/>
          <w:sz w:val="30"/>
          <w:szCs w:val="30"/>
          <w:highlight w:val="none"/>
        </w:rPr>
        <w:t>元，</w:t>
      </w:r>
      <w:r>
        <w:rPr>
          <w:rFonts w:hint="eastAsia" w:ascii="Times New Roman" w:hAnsi="Times New Roman" w:eastAsia="仿宋_GB2312" w:cs="仿宋_GB2312"/>
          <w:sz w:val="30"/>
          <w:szCs w:val="30"/>
          <w:highlight w:val="none"/>
          <w:lang w:val="en-US" w:eastAsia="zh-CN"/>
        </w:rPr>
        <w:t>增长</w:t>
      </w:r>
      <w:r>
        <w:rPr>
          <w:rFonts w:hint="eastAsia" w:ascii="Times New Roman" w:hAnsi="Times New Roman" w:eastAsia="仿宋_GB2312" w:cs="仿宋_GB2312"/>
          <w:sz w:val="30"/>
          <w:szCs w:val="30"/>
          <w:highlight w:val="none"/>
          <w:lang w:eastAsia="zh-CN"/>
        </w:rPr>
        <w:t>238.27</w:t>
      </w:r>
      <w:r>
        <w:rPr>
          <w:rFonts w:hint="eastAsia" w:ascii="Times New Roman" w:hAnsi="Times New Roman" w:eastAsia="仿宋_GB2312" w:cs="Times New Roman"/>
          <w:sz w:val="30"/>
          <w:szCs w:val="30"/>
          <w:highlight w:val="none"/>
          <w:lang w:eastAsia="zh-CN"/>
        </w:rPr>
        <w:t>%</w:t>
      </w:r>
      <w:r>
        <w:rPr>
          <w:rFonts w:hint="eastAsia" w:ascii="Times New Roman" w:hAnsi="Times New Roman" w:eastAsia="仿宋_GB2312" w:cs="仿宋_GB2312"/>
          <w:sz w:val="30"/>
          <w:szCs w:val="30"/>
          <w:highlight w:val="none"/>
        </w:rPr>
        <w:t>，</w:t>
      </w:r>
      <w:r>
        <w:rPr>
          <w:rFonts w:hint="eastAsia" w:ascii="Times New Roman" w:hAnsi="Times New Roman" w:eastAsia="仿宋_GB2312" w:cs="仿宋_GB2312"/>
          <w:sz w:val="30"/>
          <w:szCs w:val="30"/>
          <w:highlight w:val="none"/>
          <w:lang w:val="zh-CN"/>
        </w:rPr>
        <w:t>主要原因是：</w:t>
      </w:r>
      <w:r>
        <w:rPr>
          <w:rFonts w:hint="eastAsia" w:ascii="Times New Roman" w:hAnsi="Times New Roman" w:eastAsia="仿宋_GB2312" w:cs="仿宋_GB2312"/>
          <w:sz w:val="30"/>
          <w:szCs w:val="30"/>
          <w:highlight w:val="none"/>
          <w:lang w:eastAsia="zh-CN"/>
        </w:rPr>
        <w:t>本年度拨付政策性亏损补助16675万元，临时性工作补助2684万元，重症监护物资设备资金6000万元，开办费6000万元，闭环管理537万元。</w:t>
      </w:r>
    </w:p>
    <w:p w14:paraId="34742ED5">
      <w:pPr>
        <w:keepNext/>
        <w:keepLines/>
        <w:autoSpaceDE w:val="0"/>
        <w:autoSpaceDN w:val="0"/>
        <w:adjustRightInd w:val="0"/>
        <w:spacing w:line="600" w:lineRule="exact"/>
        <w:ind w:firstLine="602"/>
        <w:jc w:val="left"/>
        <w:outlineLvl w:val="1"/>
        <w:rPr>
          <w:rFonts w:hint="eastAsia" w:ascii="Times New Roman" w:hAnsi="Times New Roman" w:eastAsia="黑体" w:cs="黑体"/>
          <w:b/>
          <w:bCs/>
          <w:kern w:val="0"/>
          <w:sz w:val="30"/>
          <w:szCs w:val="30"/>
          <w:highlight w:val="none"/>
          <w:lang w:val="zh-CN"/>
        </w:rPr>
      </w:pPr>
      <w:r>
        <w:rPr>
          <w:rFonts w:hint="eastAsia" w:ascii="Times New Roman" w:hAnsi="Times New Roman" w:eastAsia="黑体" w:cs="黑体"/>
          <w:b/>
          <w:bCs/>
          <w:kern w:val="0"/>
          <w:sz w:val="30"/>
          <w:szCs w:val="30"/>
          <w:highlight w:val="none"/>
          <w:lang w:val="zh-CN"/>
        </w:rPr>
        <w:t>五、一般公共预算财政拨款支出决算情况说明</w:t>
      </w:r>
    </w:p>
    <w:p w14:paraId="3F94099C">
      <w:pPr>
        <w:autoSpaceDE w:val="0"/>
        <w:autoSpaceDN w:val="0"/>
        <w:adjustRightInd w:val="0"/>
        <w:spacing w:line="600" w:lineRule="exact"/>
        <w:ind w:left="480"/>
        <w:jc w:val="left"/>
        <w:rPr>
          <w:rFonts w:hint="eastAsia" w:ascii="Times New Roman" w:hAnsi="Times New Roman" w:eastAsia="楷体" w:cs="楷体"/>
          <w:b/>
          <w:bCs/>
          <w:kern w:val="0"/>
          <w:sz w:val="30"/>
          <w:szCs w:val="30"/>
          <w:highlight w:val="none"/>
        </w:rPr>
      </w:pPr>
      <w:r>
        <w:rPr>
          <w:rFonts w:hint="eastAsia" w:ascii="Times New Roman" w:hAnsi="Times New Roman" w:eastAsia="楷体" w:cs="楷体"/>
          <w:b/>
          <w:bCs/>
          <w:kern w:val="0"/>
          <w:sz w:val="30"/>
          <w:szCs w:val="30"/>
          <w:highlight w:val="none"/>
        </w:rPr>
        <w:t>（一）总体情况</w:t>
      </w:r>
    </w:p>
    <w:p w14:paraId="67B961A7">
      <w:pPr>
        <w:autoSpaceDE w:val="0"/>
        <w:autoSpaceDN w:val="0"/>
        <w:adjustRightInd w:val="0"/>
        <w:spacing w:line="600" w:lineRule="exact"/>
        <w:ind w:firstLine="720"/>
        <w:jc w:val="left"/>
        <w:rPr>
          <w:rFonts w:hint="eastAsia" w:ascii="Times New Roman" w:hAnsi="Times New Roman" w:eastAsia="仿宋_GB2312" w:cs="仿宋_GB2312"/>
          <w:sz w:val="30"/>
          <w:szCs w:val="30"/>
          <w:highlight w:val="none"/>
          <w:lang w:eastAsia="zh-CN"/>
        </w:rPr>
      </w:pPr>
      <w:r>
        <w:rPr>
          <w:rFonts w:hint="eastAsia" w:ascii="Times New Roman" w:hAnsi="Times New Roman" w:eastAsia="仿宋_GB2312" w:cs="仿宋_GB2312"/>
          <w:sz w:val="30"/>
          <w:szCs w:val="30"/>
          <w:highlight w:val="none"/>
          <w:lang w:eastAsia="zh-CN"/>
        </w:rPr>
        <w:t>天津市第一中心医院2023年度部门决算一般公共预算财政拨款支出</w:t>
      </w:r>
      <w:r>
        <w:rPr>
          <w:rFonts w:hint="eastAsia" w:ascii="Times New Roman" w:hAnsi="Times New Roman" w:eastAsia="仿宋_GB2312" w:cs="仿宋_GB2312"/>
          <w:sz w:val="30"/>
          <w:szCs w:val="30"/>
          <w:highlight w:val="none"/>
          <w:lang w:val="zh-CN" w:eastAsia="zh-CN"/>
        </w:rPr>
        <w:t>合</w:t>
      </w:r>
      <w:r>
        <w:rPr>
          <w:rFonts w:hint="eastAsia" w:ascii="Times New Roman" w:hAnsi="Times New Roman" w:eastAsia="仿宋_GB2312" w:cs="仿宋_GB2312"/>
          <w:sz w:val="30"/>
          <w:szCs w:val="30"/>
          <w:highlight w:val="none"/>
          <w:lang w:eastAsia="zh-CN"/>
        </w:rPr>
        <w:t>计416,761,293.51元，占本年支出合计的10.2%，与2022年度相比，一般公共预算财政拨款支出</w:t>
      </w:r>
      <w:r>
        <w:rPr>
          <w:rFonts w:hint="eastAsia" w:ascii="Times New Roman" w:hAnsi="Times New Roman" w:eastAsia="仿宋_GB2312" w:cs="仿宋_GB2312"/>
          <w:sz w:val="30"/>
          <w:szCs w:val="30"/>
          <w:highlight w:val="none"/>
          <w:lang w:val="en-US" w:eastAsia="zh-CN"/>
        </w:rPr>
        <w:t>增加</w:t>
      </w:r>
      <w:r>
        <w:rPr>
          <w:rFonts w:hint="eastAsia" w:ascii="Times New Roman" w:hAnsi="Times New Roman" w:eastAsia="仿宋_GB2312" w:cs="仿宋_GB2312"/>
          <w:sz w:val="30"/>
          <w:szCs w:val="30"/>
          <w:highlight w:val="none"/>
          <w:lang w:eastAsia="zh-CN"/>
        </w:rPr>
        <w:t>281,114,861.84元，</w:t>
      </w:r>
      <w:r>
        <w:rPr>
          <w:rFonts w:hint="eastAsia" w:ascii="Times New Roman" w:hAnsi="Times New Roman" w:eastAsia="仿宋_GB2312" w:cs="仿宋_GB2312"/>
          <w:sz w:val="30"/>
          <w:szCs w:val="30"/>
          <w:highlight w:val="none"/>
          <w:lang w:val="en-US" w:eastAsia="zh-CN"/>
        </w:rPr>
        <w:t>增长</w:t>
      </w:r>
      <w:r>
        <w:rPr>
          <w:rFonts w:hint="eastAsia" w:ascii="Times New Roman" w:hAnsi="Times New Roman" w:eastAsia="仿宋_GB2312" w:cs="仿宋_GB2312"/>
          <w:sz w:val="30"/>
          <w:szCs w:val="30"/>
          <w:highlight w:val="none"/>
          <w:lang w:eastAsia="zh-CN"/>
        </w:rPr>
        <w:t>207.24%，</w:t>
      </w:r>
      <w:r>
        <w:rPr>
          <w:rFonts w:hint="eastAsia" w:ascii="Times New Roman" w:hAnsi="Times New Roman" w:eastAsia="仿宋_GB2312" w:cs="仿宋_GB2312"/>
          <w:sz w:val="30"/>
          <w:szCs w:val="30"/>
          <w:highlight w:val="none"/>
          <w:lang w:val="zh-CN" w:eastAsia="zh-CN"/>
        </w:rPr>
        <w:t>主要原因是</w:t>
      </w:r>
      <w:r>
        <w:rPr>
          <w:rFonts w:hint="eastAsia" w:ascii="Times New Roman" w:hAnsi="Times New Roman" w:eastAsia="仿宋_GB2312" w:cs="仿宋_GB2312"/>
          <w:sz w:val="30"/>
          <w:szCs w:val="30"/>
          <w:highlight w:val="none"/>
          <w:lang w:eastAsia="zh-CN"/>
        </w:rPr>
        <w:t>：本年度拨付政策性亏损补助16675万元，临时性工作补助2684万元，重症监护物资设备资金6000万元，开办费6000万元，闭环管理537万元。</w:t>
      </w:r>
    </w:p>
    <w:p w14:paraId="26705209">
      <w:pPr>
        <w:autoSpaceDE w:val="0"/>
        <w:autoSpaceDN w:val="0"/>
        <w:adjustRightInd w:val="0"/>
        <w:spacing w:line="600" w:lineRule="exact"/>
        <w:ind w:left="480"/>
        <w:jc w:val="left"/>
        <w:rPr>
          <w:rFonts w:hint="eastAsia" w:ascii="Times New Roman" w:hAnsi="Times New Roman" w:eastAsia="楷体" w:cs="楷体"/>
          <w:b/>
          <w:bCs/>
          <w:kern w:val="0"/>
          <w:sz w:val="30"/>
          <w:szCs w:val="30"/>
          <w:highlight w:val="none"/>
        </w:rPr>
      </w:pPr>
      <w:r>
        <w:rPr>
          <w:rFonts w:hint="eastAsia" w:ascii="Times New Roman" w:hAnsi="Times New Roman" w:eastAsia="楷体" w:cs="楷体"/>
          <w:b/>
          <w:bCs/>
          <w:kern w:val="0"/>
          <w:sz w:val="30"/>
          <w:szCs w:val="30"/>
          <w:highlight w:val="none"/>
        </w:rPr>
        <w:t>（二）</w:t>
      </w:r>
      <w:r>
        <w:rPr>
          <w:rFonts w:hint="eastAsia" w:ascii="Times New Roman" w:hAnsi="Times New Roman" w:eastAsia="楷体" w:cs="楷体"/>
          <w:b/>
          <w:bCs/>
          <w:kern w:val="0"/>
          <w:sz w:val="30"/>
          <w:szCs w:val="30"/>
          <w:highlight w:val="none"/>
          <w:lang w:val="zh-CN"/>
        </w:rPr>
        <w:t>支出结构</w:t>
      </w:r>
      <w:r>
        <w:rPr>
          <w:rFonts w:hint="eastAsia" w:ascii="Times New Roman" w:hAnsi="Times New Roman" w:eastAsia="楷体" w:cs="楷体"/>
          <w:b/>
          <w:bCs/>
          <w:kern w:val="0"/>
          <w:sz w:val="30"/>
          <w:szCs w:val="30"/>
          <w:highlight w:val="none"/>
        </w:rPr>
        <w:t>情况</w:t>
      </w:r>
    </w:p>
    <w:p w14:paraId="02811692">
      <w:pPr>
        <w:autoSpaceDE w:val="0"/>
        <w:autoSpaceDN w:val="0"/>
        <w:adjustRightInd w:val="0"/>
        <w:spacing w:line="600" w:lineRule="exact"/>
        <w:ind w:firstLine="720"/>
        <w:jc w:val="left"/>
        <w:rPr>
          <w:rFonts w:hint="eastAsia" w:ascii="Times New Roman" w:hAnsi="Times New Roman" w:eastAsia="仿宋_GB2312" w:cs="仿宋_GB2312"/>
          <w:kern w:val="0"/>
          <w:sz w:val="30"/>
          <w:szCs w:val="30"/>
          <w:highlight w:val="none"/>
        </w:rPr>
      </w:pPr>
      <w:r>
        <w:rPr>
          <w:rFonts w:hint="eastAsia" w:ascii="Times New Roman" w:hAnsi="Times New Roman" w:eastAsia="仿宋_GB2312" w:cs="仿宋_GB2312"/>
          <w:sz w:val="30"/>
          <w:szCs w:val="30"/>
          <w:highlight w:val="none"/>
          <w:lang w:eastAsia="zh-CN"/>
        </w:rPr>
        <w:t>2023</w:t>
      </w:r>
      <w:r>
        <w:rPr>
          <w:rFonts w:hint="eastAsia" w:ascii="Times New Roman" w:hAnsi="Times New Roman" w:eastAsia="仿宋_GB2312" w:cs="仿宋_GB2312"/>
          <w:sz w:val="30"/>
          <w:szCs w:val="30"/>
          <w:highlight w:val="none"/>
        </w:rPr>
        <w:t>年度一般公共预算财政拨款支出</w:t>
      </w:r>
      <w:r>
        <w:rPr>
          <w:rFonts w:hint="eastAsia" w:ascii="Times New Roman" w:hAnsi="Times New Roman" w:eastAsia="仿宋_GB2312" w:cs="Times New Roman"/>
          <w:sz w:val="30"/>
          <w:szCs w:val="30"/>
          <w:highlight w:val="none"/>
          <w:lang w:eastAsia="zh-CN"/>
        </w:rPr>
        <w:t>416,761,293.51</w:t>
      </w:r>
      <w:r>
        <w:rPr>
          <w:rFonts w:hint="eastAsia" w:ascii="Times New Roman" w:hAnsi="Times New Roman" w:eastAsia="仿宋_GB2312" w:cs="仿宋_GB2312"/>
          <w:sz w:val="30"/>
          <w:szCs w:val="30"/>
          <w:highlight w:val="none"/>
        </w:rPr>
        <w:t>元，</w:t>
      </w:r>
      <w:r>
        <w:rPr>
          <w:rFonts w:hint="eastAsia" w:ascii="Times New Roman" w:hAnsi="Times New Roman" w:eastAsia="仿宋_GB2312" w:cs="仿宋_GB2312"/>
          <w:kern w:val="0"/>
          <w:sz w:val="30"/>
          <w:szCs w:val="30"/>
          <w:highlight w:val="none"/>
        </w:rPr>
        <w:t>主要用于以下方面：社会保障和就业支出 53784000元，占12.91 %，卫生健康支出 302977293.51元，占72.70 %</w:t>
      </w:r>
      <w:r>
        <w:rPr>
          <w:rFonts w:hint="eastAsia" w:ascii="Times New Roman" w:hAnsi="Times New Roman" w:eastAsia="仿宋_GB2312" w:cs="仿宋_GB2312"/>
          <w:kern w:val="0"/>
          <w:sz w:val="30"/>
          <w:szCs w:val="30"/>
          <w:highlight w:val="none"/>
          <w:lang w:eastAsia="zh-CN"/>
        </w:rPr>
        <w:t>，</w:t>
      </w:r>
      <w:r>
        <w:rPr>
          <w:rFonts w:hint="eastAsia" w:ascii="Times New Roman" w:hAnsi="Times New Roman" w:eastAsia="仿宋_GB2312" w:cs="仿宋_GB2312"/>
          <w:kern w:val="0"/>
          <w:sz w:val="30"/>
          <w:szCs w:val="30"/>
          <w:highlight w:val="none"/>
        </w:rPr>
        <w:t>城乡社区支出 48880000 元，占11.73 %，其他支出11120000元</w:t>
      </w:r>
      <w:r>
        <w:rPr>
          <w:rFonts w:hint="eastAsia" w:ascii="Times New Roman" w:hAnsi="Times New Roman" w:eastAsia="仿宋_GB2312" w:cs="仿宋_GB2312"/>
          <w:kern w:val="0"/>
          <w:sz w:val="30"/>
          <w:szCs w:val="30"/>
          <w:highlight w:val="none"/>
          <w:lang w:eastAsia="zh-CN"/>
        </w:rPr>
        <w:t>，</w:t>
      </w:r>
      <w:r>
        <w:rPr>
          <w:rFonts w:hint="eastAsia" w:ascii="Times New Roman" w:hAnsi="Times New Roman" w:eastAsia="仿宋_GB2312" w:cs="仿宋_GB2312"/>
          <w:kern w:val="0"/>
          <w:sz w:val="30"/>
          <w:szCs w:val="30"/>
          <w:highlight w:val="none"/>
        </w:rPr>
        <w:t>占2.60 %</w:t>
      </w:r>
    </w:p>
    <w:p w14:paraId="2AC2572B">
      <w:pPr>
        <w:autoSpaceDE w:val="0"/>
        <w:autoSpaceDN w:val="0"/>
        <w:adjustRightInd w:val="0"/>
        <w:spacing w:line="600" w:lineRule="exact"/>
        <w:ind w:left="480"/>
        <w:jc w:val="left"/>
        <w:rPr>
          <w:rFonts w:ascii="Times New Roman" w:hAnsi="Times New Roman" w:eastAsia="楷体" w:cs="楷体"/>
          <w:b/>
          <w:bCs/>
          <w:kern w:val="0"/>
          <w:sz w:val="30"/>
          <w:szCs w:val="30"/>
          <w:highlight w:val="none"/>
        </w:rPr>
      </w:pPr>
      <w:r>
        <w:rPr>
          <w:rFonts w:hint="eastAsia" w:ascii="Times New Roman" w:hAnsi="Times New Roman" w:eastAsia="楷体" w:cs="楷体"/>
          <w:b/>
          <w:bCs/>
          <w:kern w:val="0"/>
          <w:sz w:val="30"/>
          <w:szCs w:val="30"/>
          <w:highlight w:val="none"/>
        </w:rPr>
        <w:t>（三）具体情况</w:t>
      </w:r>
    </w:p>
    <w:p w14:paraId="55C85A32">
      <w:pPr>
        <w:autoSpaceDE w:val="0"/>
        <w:autoSpaceDN w:val="0"/>
        <w:adjustRightInd w:val="0"/>
        <w:spacing w:line="600" w:lineRule="exact"/>
        <w:ind w:firstLine="600"/>
        <w:jc w:val="left"/>
        <w:rPr>
          <w:rFonts w:ascii="Times New Roman" w:hAnsi="Times New Roman" w:eastAsia="仿宋_GB2312" w:cs="仿宋_GB2312"/>
          <w:kern w:val="0"/>
          <w:sz w:val="30"/>
          <w:szCs w:val="30"/>
          <w:highlight w:val="none"/>
        </w:rPr>
      </w:pPr>
      <w:r>
        <w:rPr>
          <w:rFonts w:hint="eastAsia" w:ascii="Times New Roman" w:hAnsi="Times New Roman" w:eastAsia="仿宋_GB2312" w:cs="仿宋_GB2312"/>
          <w:kern w:val="0"/>
          <w:sz w:val="30"/>
          <w:szCs w:val="30"/>
          <w:highlight w:val="none"/>
          <w:lang w:eastAsia="zh-CN"/>
        </w:rPr>
        <w:t>2023</w:t>
      </w:r>
      <w:r>
        <w:rPr>
          <w:rFonts w:hint="eastAsia" w:ascii="Times New Roman" w:hAnsi="Times New Roman" w:eastAsia="仿宋_GB2312" w:cs="仿宋_GB2312"/>
          <w:kern w:val="0"/>
          <w:sz w:val="30"/>
          <w:szCs w:val="30"/>
          <w:highlight w:val="none"/>
        </w:rPr>
        <w:t>年度一般公共预算财政拨款支出年初预算为</w:t>
      </w:r>
      <w:r>
        <w:rPr>
          <w:rFonts w:hint="eastAsia" w:ascii="Times New Roman" w:hAnsi="Times New Roman" w:eastAsia="仿宋_GB2312" w:cs="Times New Roman"/>
          <w:sz w:val="30"/>
          <w:szCs w:val="30"/>
          <w:highlight w:val="none"/>
          <w:lang w:eastAsia="zh-CN"/>
        </w:rPr>
        <w:t>170,381,600.00</w:t>
      </w:r>
      <w:r>
        <w:rPr>
          <w:rFonts w:hint="eastAsia" w:ascii="Times New Roman" w:hAnsi="Times New Roman" w:eastAsia="仿宋_GB2312" w:cs="仿宋_GB2312"/>
          <w:kern w:val="0"/>
          <w:sz w:val="30"/>
          <w:szCs w:val="30"/>
          <w:highlight w:val="none"/>
        </w:rPr>
        <w:t>元，支出决算为</w:t>
      </w:r>
      <w:r>
        <w:rPr>
          <w:rFonts w:hint="eastAsia" w:ascii="Times New Roman" w:hAnsi="Times New Roman" w:eastAsia="仿宋_GB2312" w:cs="Times New Roman"/>
          <w:sz w:val="30"/>
          <w:szCs w:val="30"/>
          <w:highlight w:val="none"/>
          <w:lang w:eastAsia="zh-CN"/>
        </w:rPr>
        <w:t>416,761,293.51</w:t>
      </w:r>
      <w:r>
        <w:rPr>
          <w:rFonts w:hint="eastAsia" w:ascii="Times New Roman" w:hAnsi="Times New Roman" w:eastAsia="仿宋_GB2312" w:cs="仿宋_GB2312"/>
          <w:kern w:val="0"/>
          <w:sz w:val="30"/>
          <w:szCs w:val="30"/>
          <w:highlight w:val="none"/>
        </w:rPr>
        <w:t>元，完成年初预算的</w:t>
      </w:r>
      <w:r>
        <w:rPr>
          <w:rFonts w:hint="eastAsia" w:ascii="Times New Roman" w:hAnsi="Times New Roman" w:eastAsia="仿宋_GB2312" w:cs="Times New Roman"/>
          <w:sz w:val="30"/>
          <w:szCs w:val="30"/>
          <w:highlight w:val="none"/>
          <w:lang w:eastAsia="zh-CN"/>
        </w:rPr>
        <w:t>244.6%</w:t>
      </w:r>
      <w:r>
        <w:rPr>
          <w:rFonts w:hint="eastAsia" w:ascii="Times New Roman" w:hAnsi="Times New Roman" w:eastAsia="仿宋_GB2312" w:cs="仿宋_GB2312"/>
          <w:kern w:val="0"/>
          <w:sz w:val="30"/>
          <w:szCs w:val="30"/>
          <w:highlight w:val="none"/>
        </w:rPr>
        <w:t>。其中：</w:t>
      </w:r>
    </w:p>
    <w:p w14:paraId="1CA1C393">
      <w:pPr>
        <w:numPr>
          <w:ilvl w:val="0"/>
          <w:numId w:val="1"/>
        </w:numPr>
        <w:autoSpaceDE w:val="0"/>
        <w:autoSpaceDN w:val="0"/>
        <w:adjustRightInd w:val="0"/>
        <w:spacing w:line="600" w:lineRule="exact"/>
        <w:ind w:firstLine="720"/>
        <w:jc w:val="left"/>
        <w:rPr>
          <w:rFonts w:hint="eastAsia" w:ascii="Times New Roman" w:hAnsi="Times New Roman" w:eastAsia="仿宋_GB2312" w:cs="仿宋_GB2312"/>
          <w:sz w:val="30"/>
          <w:szCs w:val="30"/>
          <w:highlight w:val="none"/>
          <w:lang w:eastAsia="zh-CN"/>
        </w:rPr>
      </w:pPr>
      <w:r>
        <w:rPr>
          <w:rFonts w:hint="eastAsia" w:ascii="Times New Roman" w:hAnsi="Times New Roman" w:eastAsia="仿宋_GB2312" w:cs="仿宋_GB2312"/>
          <w:sz w:val="30"/>
          <w:szCs w:val="30"/>
          <w:highlight w:val="none"/>
          <w:lang w:eastAsia="zh-CN"/>
        </w:rPr>
        <w:t>社会保障和就业支出(类)行政事业单位养老支出(款)机关事业单位基本养老保险缴费支出(项)年初预算为35856000元，支出决算为35856000元，完成年初预算的100 %。社会保障和就业支出(类)行政事业单位养老支出(款)机关事业单位职业年金缴费支出(项)年初预算为17928000元，支出决算为17928000元，完成年初预算的 100 %。</w:t>
      </w:r>
      <w:r>
        <w:rPr>
          <w:rFonts w:hint="eastAsia" w:ascii="Times New Roman" w:hAnsi="Times New Roman" w:eastAsia="仿宋_GB2312" w:cs="仿宋_GB2312"/>
          <w:sz w:val="30"/>
          <w:szCs w:val="30"/>
          <w:highlight w:val="none"/>
          <w:lang w:eastAsia="zh-CN"/>
        </w:rPr>
        <w:br w:type="textWrapping"/>
      </w:r>
      <w:r>
        <w:rPr>
          <w:rFonts w:hint="eastAsia" w:ascii="Times New Roman" w:hAnsi="Times New Roman" w:eastAsia="仿宋_GB2312" w:cs="仿宋_GB2312"/>
          <w:sz w:val="30"/>
          <w:szCs w:val="30"/>
          <w:highlight w:val="none"/>
          <w:lang w:val="en-US" w:eastAsia="zh-CN"/>
        </w:rPr>
        <w:t xml:space="preserve">    </w:t>
      </w:r>
      <w:r>
        <w:rPr>
          <w:rFonts w:hint="eastAsia" w:ascii="Times New Roman" w:hAnsi="Times New Roman" w:eastAsia="仿宋_GB2312" w:cs="仿宋_GB2312"/>
          <w:sz w:val="30"/>
          <w:szCs w:val="30"/>
          <w:highlight w:val="none"/>
          <w:lang w:eastAsia="zh-CN"/>
        </w:rPr>
        <w:t>2.</w:t>
      </w:r>
      <w:r>
        <w:rPr>
          <w:rFonts w:hint="eastAsia" w:ascii="Times New Roman" w:hAnsi="Times New Roman" w:eastAsia="仿宋_GB2312" w:cs="仿宋_GB2312"/>
          <w:sz w:val="30"/>
          <w:szCs w:val="30"/>
          <w:highlight w:val="none"/>
          <w:lang w:val="en-US" w:eastAsia="zh-CN"/>
        </w:rPr>
        <w:t xml:space="preserve"> </w:t>
      </w:r>
      <w:r>
        <w:rPr>
          <w:rFonts w:hint="eastAsia" w:ascii="Times New Roman" w:hAnsi="Times New Roman" w:eastAsia="仿宋_GB2312" w:cs="仿宋_GB2312"/>
          <w:sz w:val="30"/>
          <w:szCs w:val="30"/>
          <w:highlight w:val="none"/>
          <w:lang w:eastAsia="zh-CN"/>
        </w:rPr>
        <w:t>卫生健康支出(类)卫生健康管理事务(款)其他卫生健康管理事务支出(项)年初预算为0元，</w:t>
      </w:r>
      <w:r>
        <w:rPr>
          <w:rFonts w:hint="eastAsia" w:eastAsia="仿宋_GB2312"/>
          <w:sz w:val="30"/>
          <w:szCs w:val="30"/>
          <w:lang w:val="en-US" w:eastAsia="zh-CN"/>
        </w:rPr>
        <w:t>追加预算</w:t>
      </w:r>
      <w:r>
        <w:rPr>
          <w:rFonts w:hint="eastAsia" w:eastAsia="仿宋_GB2312"/>
          <w:sz w:val="30"/>
          <w:szCs w:val="30"/>
        </w:rPr>
        <w:t>为</w:t>
      </w:r>
      <w:r>
        <w:rPr>
          <w:rFonts w:hint="eastAsia" w:ascii="Times New Roman" w:hAnsi="Times New Roman" w:eastAsia="仿宋_GB2312" w:cs="仿宋_GB2312"/>
          <w:sz w:val="30"/>
          <w:szCs w:val="30"/>
          <w:highlight w:val="none"/>
          <w:lang w:eastAsia="zh-CN"/>
        </w:rPr>
        <w:t>976000</w:t>
      </w:r>
      <w:r>
        <w:rPr>
          <w:rFonts w:eastAsia="仿宋_GB2312"/>
          <w:sz w:val="30"/>
          <w:szCs w:val="30"/>
        </w:rPr>
        <w:t>元</w:t>
      </w:r>
      <w:r>
        <w:rPr>
          <w:rFonts w:hint="eastAsia" w:eastAsia="仿宋_GB2312"/>
          <w:sz w:val="30"/>
          <w:szCs w:val="30"/>
          <w:lang w:eastAsia="zh-CN"/>
        </w:rPr>
        <w:t>，</w:t>
      </w:r>
      <w:r>
        <w:rPr>
          <w:rFonts w:hint="eastAsia" w:ascii="Times New Roman" w:hAnsi="Times New Roman" w:eastAsia="仿宋_GB2312" w:cs="仿宋_GB2312"/>
          <w:sz w:val="30"/>
          <w:szCs w:val="30"/>
          <w:highlight w:val="none"/>
          <w:lang w:eastAsia="zh-CN"/>
        </w:rPr>
        <w:t>支出决算为976000元，</w:t>
      </w:r>
      <w:r>
        <w:rPr>
          <w:rFonts w:hint="eastAsia" w:eastAsia="仿宋_GB2312"/>
          <w:sz w:val="30"/>
          <w:szCs w:val="30"/>
          <w:lang w:val="en-US" w:eastAsia="zh-CN"/>
        </w:rPr>
        <w:t>完成追加预算数的</w:t>
      </w:r>
      <w:r>
        <w:rPr>
          <w:rFonts w:hint="eastAsia" w:ascii="Times New Roman" w:hAnsi="Times New Roman" w:eastAsia="仿宋_GB2312" w:cs="仿宋_GB2312"/>
          <w:sz w:val="30"/>
          <w:szCs w:val="30"/>
          <w:highlight w:val="none"/>
          <w:lang w:val="en-US" w:eastAsia="zh-CN"/>
        </w:rPr>
        <w:t>100%</w:t>
      </w:r>
      <w:r>
        <w:rPr>
          <w:rFonts w:hint="eastAsia" w:ascii="Times New Roman" w:hAnsi="Times New Roman" w:eastAsia="仿宋_GB2312" w:cs="仿宋_GB2312"/>
          <w:sz w:val="30"/>
          <w:szCs w:val="30"/>
          <w:highlight w:val="none"/>
          <w:lang w:eastAsia="zh-CN"/>
        </w:rPr>
        <w:t>，</w:t>
      </w:r>
      <w:r>
        <w:rPr>
          <w:rFonts w:hint="eastAsia" w:eastAsia="仿宋_GB2312"/>
          <w:sz w:val="30"/>
          <w:szCs w:val="30"/>
        </w:rPr>
        <w:t>决算数</w:t>
      </w:r>
      <w:r>
        <w:rPr>
          <w:rFonts w:hint="eastAsia" w:eastAsia="仿宋_GB2312"/>
          <w:sz w:val="30"/>
          <w:szCs w:val="30"/>
          <w:lang w:val="en-US" w:eastAsia="zh-CN"/>
        </w:rPr>
        <w:t>等于追加预算数</w:t>
      </w:r>
      <w:r>
        <w:rPr>
          <w:rFonts w:hint="eastAsia" w:eastAsia="仿宋_GB2312"/>
          <w:sz w:val="30"/>
          <w:szCs w:val="30"/>
        </w:rPr>
        <w:t>的主要原因</w:t>
      </w:r>
      <w:r>
        <w:rPr>
          <w:rFonts w:hint="eastAsia" w:ascii="Times New Roman" w:hAnsi="Times New Roman" w:eastAsia="仿宋_GB2312" w:cs="仿宋_GB2312"/>
          <w:sz w:val="30"/>
          <w:szCs w:val="30"/>
          <w:highlight w:val="none"/>
          <w:lang w:eastAsia="zh-CN"/>
        </w:rPr>
        <w:t>是年中拨付关心关爱医务人员补助资金976000元。</w:t>
      </w:r>
    </w:p>
    <w:p w14:paraId="2BC54EA2">
      <w:pPr>
        <w:numPr>
          <w:ilvl w:val="0"/>
          <w:numId w:val="0"/>
        </w:numPr>
        <w:autoSpaceDE w:val="0"/>
        <w:autoSpaceDN w:val="0"/>
        <w:adjustRightInd w:val="0"/>
        <w:spacing w:line="600" w:lineRule="exact"/>
        <w:ind w:firstLine="600" w:firstLineChars="200"/>
        <w:jc w:val="left"/>
        <w:rPr>
          <w:rFonts w:hint="eastAsia" w:ascii="Times New Roman" w:hAnsi="Times New Roman" w:eastAsia="仿宋_GB2312" w:cs="仿宋_GB2312"/>
          <w:sz w:val="30"/>
          <w:szCs w:val="30"/>
          <w:highlight w:val="none"/>
          <w:lang w:eastAsia="zh-CN"/>
        </w:rPr>
      </w:pPr>
      <w:r>
        <w:rPr>
          <w:rFonts w:hint="eastAsia" w:ascii="Times New Roman" w:hAnsi="Times New Roman" w:eastAsia="仿宋_GB2312" w:cs="仿宋_GB2312"/>
          <w:sz w:val="30"/>
          <w:szCs w:val="30"/>
          <w:highlight w:val="none"/>
          <w:lang w:val="en-US" w:eastAsia="zh-CN"/>
        </w:rPr>
        <w:t xml:space="preserve">3. </w:t>
      </w:r>
      <w:r>
        <w:rPr>
          <w:rFonts w:hint="eastAsia" w:ascii="Times New Roman" w:hAnsi="Times New Roman" w:eastAsia="仿宋_GB2312" w:cs="仿宋_GB2312"/>
          <w:sz w:val="30"/>
          <w:szCs w:val="30"/>
          <w:highlight w:val="none"/>
          <w:lang w:eastAsia="zh-CN"/>
        </w:rPr>
        <w:t>卫生健康支出(类)公立医院(款)综合医院(项)年初预算为 16263600元，支出决算为45607572.17元，完成年初预算的280.43 %，决算数大于年初预算数的主要原因是年中拨付了医疗卫生机构能力建设-01中央直达资金-2022年医疗服务与保障能力提升补助资金（第二批）、 新冠疫情防控（市一中心医院政策性亏损补助）等项目资金。</w:t>
      </w:r>
    </w:p>
    <w:p w14:paraId="744E3B3F">
      <w:pPr>
        <w:numPr>
          <w:ilvl w:val="0"/>
          <w:numId w:val="0"/>
        </w:numPr>
        <w:autoSpaceDE w:val="0"/>
        <w:autoSpaceDN w:val="0"/>
        <w:adjustRightInd w:val="0"/>
        <w:spacing w:line="600" w:lineRule="exact"/>
        <w:ind w:firstLine="600" w:firstLineChars="200"/>
        <w:jc w:val="left"/>
        <w:rPr>
          <w:rFonts w:hint="eastAsia" w:ascii="Times New Roman" w:hAnsi="Times New Roman" w:eastAsia="仿宋_GB2312" w:cs="仿宋_GB2312"/>
          <w:sz w:val="30"/>
          <w:szCs w:val="30"/>
          <w:highlight w:val="none"/>
          <w:lang w:eastAsia="zh-CN"/>
        </w:rPr>
      </w:pPr>
      <w:r>
        <w:rPr>
          <w:rFonts w:hint="eastAsia" w:ascii="Times New Roman" w:hAnsi="Times New Roman" w:eastAsia="仿宋_GB2312" w:cs="仿宋_GB2312"/>
          <w:sz w:val="30"/>
          <w:szCs w:val="30"/>
          <w:highlight w:val="none"/>
          <w:lang w:val="en-US" w:eastAsia="zh-CN"/>
        </w:rPr>
        <w:t xml:space="preserve">4. </w:t>
      </w:r>
      <w:r>
        <w:rPr>
          <w:rFonts w:hint="eastAsia" w:ascii="Times New Roman" w:hAnsi="Times New Roman" w:eastAsia="仿宋_GB2312" w:cs="仿宋_GB2312"/>
          <w:sz w:val="30"/>
          <w:szCs w:val="30"/>
          <w:highlight w:val="none"/>
          <w:lang w:eastAsia="zh-CN"/>
        </w:rPr>
        <w:t>卫生健康支出(类)公共卫生(款)应急救治机构(项)年初预算为0元，</w:t>
      </w:r>
      <w:r>
        <w:rPr>
          <w:rFonts w:hint="eastAsia" w:eastAsia="仿宋_GB2312"/>
          <w:sz w:val="30"/>
          <w:szCs w:val="30"/>
          <w:lang w:val="en-US" w:eastAsia="zh-CN"/>
        </w:rPr>
        <w:t>追加预算</w:t>
      </w:r>
      <w:r>
        <w:rPr>
          <w:rFonts w:hint="eastAsia" w:eastAsia="仿宋_GB2312"/>
          <w:sz w:val="30"/>
          <w:szCs w:val="30"/>
        </w:rPr>
        <w:t>为</w:t>
      </w:r>
      <w:r>
        <w:rPr>
          <w:rFonts w:hint="eastAsia" w:ascii="Times New Roman" w:hAnsi="Times New Roman" w:eastAsia="仿宋_GB2312" w:cs="仿宋_GB2312"/>
          <w:sz w:val="30"/>
          <w:szCs w:val="30"/>
          <w:highlight w:val="none"/>
          <w:lang w:eastAsia="zh-CN"/>
        </w:rPr>
        <w:t>2455000元，支出决算为2455000元，</w:t>
      </w:r>
      <w:r>
        <w:rPr>
          <w:rFonts w:hint="eastAsia" w:eastAsia="仿宋_GB2312"/>
          <w:sz w:val="30"/>
          <w:szCs w:val="30"/>
          <w:lang w:val="en-US" w:eastAsia="zh-CN"/>
        </w:rPr>
        <w:t>完成追加预算数的</w:t>
      </w:r>
      <w:r>
        <w:rPr>
          <w:rFonts w:hint="eastAsia" w:ascii="Times New Roman" w:hAnsi="Times New Roman" w:eastAsia="仿宋_GB2312" w:cs="仿宋_GB2312"/>
          <w:sz w:val="30"/>
          <w:szCs w:val="30"/>
          <w:highlight w:val="none"/>
          <w:lang w:val="en-US" w:eastAsia="zh-CN"/>
        </w:rPr>
        <w:t>100%</w:t>
      </w:r>
      <w:r>
        <w:rPr>
          <w:rFonts w:hint="eastAsia" w:eastAsia="仿宋_GB2312"/>
          <w:sz w:val="30"/>
          <w:szCs w:val="30"/>
        </w:rPr>
        <w:t>，决算数</w:t>
      </w:r>
      <w:r>
        <w:rPr>
          <w:rFonts w:hint="eastAsia" w:eastAsia="仿宋_GB2312"/>
          <w:sz w:val="30"/>
          <w:szCs w:val="30"/>
          <w:lang w:val="en-US" w:eastAsia="zh-CN"/>
        </w:rPr>
        <w:t>等于追加</w:t>
      </w:r>
      <w:r>
        <w:rPr>
          <w:rFonts w:hint="eastAsia" w:eastAsia="仿宋_GB2312"/>
          <w:sz w:val="30"/>
          <w:szCs w:val="30"/>
        </w:rPr>
        <w:t>预算数的主要原因是</w:t>
      </w:r>
      <w:r>
        <w:rPr>
          <w:rFonts w:hint="eastAsia" w:ascii="Times New Roman" w:hAnsi="Times New Roman" w:eastAsia="仿宋_GB2312" w:cs="仿宋_GB2312"/>
          <w:sz w:val="30"/>
          <w:szCs w:val="30"/>
          <w:highlight w:val="none"/>
          <w:lang w:eastAsia="zh-CN"/>
        </w:rPr>
        <w:t>年中</w:t>
      </w:r>
      <w:bookmarkStart w:id="0" w:name="_GoBack"/>
      <w:bookmarkEnd w:id="0"/>
      <w:r>
        <w:rPr>
          <w:rFonts w:hint="eastAsia" w:ascii="Times New Roman" w:hAnsi="Times New Roman" w:eastAsia="仿宋_GB2312" w:cs="仿宋_GB2312"/>
          <w:sz w:val="30"/>
          <w:szCs w:val="30"/>
          <w:highlight w:val="none"/>
          <w:lang w:eastAsia="zh-CN"/>
        </w:rPr>
        <w:t>安排新冠肺炎疫情防控[闭环管理费用]经费。卫生健康支出(类)公共卫生(款)基本公共卫生服务(项)年初预算为 483000元，支出决算为483000元，完成年初预算的100 %。卫生健康支出(类)公共卫生(款)重大公共卫生服务(项)年初预算为606000元，支出决算为780946.34元，完成年初预算的128.87 %，决算数大于年初预算数的主要原因是年中拨付重大传染病防控经费（2023年中央第二批）。卫生健康支出(类)公共卫生(款)突发公共卫生事件应急处理(项)年初预算为30000000元，支出决算为243429775元，完成年初预算的 811.43 %，决算数大于年初预算数的主要原因是年我院在疫情期间为定点医院，为抗击疫情，年中拨付政策性亏损补助经费15333万元、重症监护物资设备资金6000万、可转换ICU120万、医务人员临时性补助893万。</w:t>
      </w:r>
    </w:p>
    <w:p w14:paraId="4B435149">
      <w:pPr>
        <w:numPr>
          <w:ilvl w:val="0"/>
          <w:numId w:val="0"/>
        </w:numPr>
        <w:autoSpaceDE w:val="0"/>
        <w:autoSpaceDN w:val="0"/>
        <w:adjustRightInd w:val="0"/>
        <w:spacing w:line="600" w:lineRule="exact"/>
        <w:ind w:firstLine="600" w:firstLineChars="200"/>
        <w:jc w:val="left"/>
        <w:rPr>
          <w:rFonts w:hint="eastAsia" w:ascii="Times New Roman" w:hAnsi="Times New Roman" w:eastAsia="仿宋_GB2312" w:cs="仿宋_GB2312"/>
          <w:sz w:val="30"/>
          <w:szCs w:val="30"/>
          <w:highlight w:val="none"/>
          <w:lang w:eastAsia="zh-CN"/>
        </w:rPr>
      </w:pPr>
      <w:r>
        <w:rPr>
          <w:rFonts w:hint="eastAsia" w:ascii="Times New Roman" w:hAnsi="Times New Roman" w:eastAsia="仿宋_GB2312" w:cs="仿宋_GB2312"/>
          <w:sz w:val="30"/>
          <w:szCs w:val="30"/>
          <w:highlight w:val="none"/>
          <w:lang w:val="en-US" w:eastAsia="zh-CN"/>
        </w:rPr>
        <w:t xml:space="preserve">5. </w:t>
      </w:r>
      <w:r>
        <w:rPr>
          <w:rFonts w:hint="eastAsia" w:ascii="Times New Roman" w:hAnsi="Times New Roman" w:eastAsia="仿宋_GB2312" w:cs="仿宋_GB2312"/>
          <w:sz w:val="30"/>
          <w:szCs w:val="30"/>
          <w:highlight w:val="none"/>
          <w:lang w:eastAsia="zh-CN"/>
        </w:rPr>
        <w:t>卫生健康支出(类)中医药(款)中医（民族医）药专项(项)年初预算为170000元，支出决算为170000元，完成年初预算的100 %。</w:t>
      </w:r>
    </w:p>
    <w:p w14:paraId="75BC0E4B">
      <w:pPr>
        <w:numPr>
          <w:ilvl w:val="0"/>
          <w:numId w:val="0"/>
        </w:numPr>
        <w:autoSpaceDE w:val="0"/>
        <w:autoSpaceDN w:val="0"/>
        <w:adjustRightInd w:val="0"/>
        <w:spacing w:line="600" w:lineRule="exact"/>
        <w:ind w:firstLine="600" w:firstLineChars="200"/>
        <w:jc w:val="left"/>
        <w:rPr>
          <w:rFonts w:hint="eastAsia" w:ascii="Times New Roman" w:hAnsi="Times New Roman" w:eastAsia="仿宋_GB2312" w:cs="仿宋_GB2312"/>
          <w:sz w:val="30"/>
          <w:szCs w:val="30"/>
          <w:highlight w:val="none"/>
          <w:lang w:eastAsia="zh-CN"/>
        </w:rPr>
      </w:pPr>
      <w:r>
        <w:rPr>
          <w:rFonts w:hint="eastAsia" w:ascii="Times New Roman" w:hAnsi="Times New Roman" w:eastAsia="仿宋_GB2312" w:cs="仿宋_GB2312"/>
          <w:sz w:val="30"/>
          <w:szCs w:val="30"/>
          <w:highlight w:val="none"/>
          <w:lang w:val="en-US" w:eastAsia="zh-CN"/>
        </w:rPr>
        <w:t xml:space="preserve">6. </w:t>
      </w:r>
      <w:r>
        <w:rPr>
          <w:rFonts w:hint="eastAsia" w:ascii="Times New Roman" w:hAnsi="Times New Roman" w:eastAsia="仿宋_GB2312" w:cs="仿宋_GB2312"/>
          <w:sz w:val="30"/>
          <w:szCs w:val="30"/>
          <w:highlight w:val="none"/>
          <w:lang w:eastAsia="zh-CN"/>
        </w:rPr>
        <w:t>卫生健康支出(类)行政事业单位医疗(款)事业单位医疗(项)年初预算为6743000元，支出决算为6743000元，完成年初预算的 100 %。卫生健康支出(类)行政事业单位医疗(款)其他行政事业单位医疗支出(项)年初预算为</w:t>
      </w:r>
      <w:r>
        <w:rPr>
          <w:rFonts w:hint="eastAsia" w:ascii="Times New Roman" w:hAnsi="Times New Roman" w:eastAsia="仿宋_GB2312" w:cs="仿宋_GB2312"/>
          <w:sz w:val="30"/>
          <w:szCs w:val="30"/>
          <w:highlight w:val="none"/>
          <w:lang w:val="en-US" w:eastAsia="zh-CN"/>
        </w:rPr>
        <w:t xml:space="preserve"> </w:t>
      </w:r>
      <w:r>
        <w:rPr>
          <w:rFonts w:hint="eastAsia" w:ascii="Times New Roman" w:hAnsi="Times New Roman" w:eastAsia="仿宋_GB2312" w:cs="仿宋_GB2312"/>
          <w:sz w:val="30"/>
          <w:szCs w:val="30"/>
          <w:highlight w:val="none"/>
          <w:lang w:eastAsia="zh-CN"/>
        </w:rPr>
        <w:t>2332000元，支出决算为 2332000元，完成年初预算的100 %。</w:t>
      </w:r>
      <w:r>
        <w:rPr>
          <w:rFonts w:hint="eastAsia" w:ascii="Times New Roman" w:hAnsi="Times New Roman" w:eastAsia="仿宋_GB2312" w:cs="仿宋_GB2312"/>
          <w:sz w:val="30"/>
          <w:szCs w:val="30"/>
          <w:highlight w:val="none"/>
          <w:lang w:eastAsia="zh-CN"/>
        </w:rPr>
        <w:br w:type="textWrapping"/>
      </w:r>
      <w:r>
        <w:rPr>
          <w:rFonts w:hint="eastAsia" w:ascii="Times New Roman" w:hAnsi="Times New Roman" w:eastAsia="仿宋_GB2312" w:cs="仿宋_GB2312"/>
          <w:sz w:val="30"/>
          <w:szCs w:val="30"/>
          <w:highlight w:val="none"/>
          <w:lang w:eastAsia="zh-CN"/>
        </w:rPr>
        <w:t xml:space="preserve">    </w:t>
      </w:r>
      <w:r>
        <w:rPr>
          <w:rFonts w:hint="eastAsia" w:ascii="Times New Roman" w:hAnsi="Times New Roman" w:eastAsia="仿宋_GB2312" w:cs="仿宋_GB2312"/>
          <w:sz w:val="30"/>
          <w:szCs w:val="30"/>
          <w:highlight w:val="none"/>
          <w:lang w:val="en-US" w:eastAsia="zh-CN"/>
        </w:rPr>
        <w:t>7</w:t>
      </w:r>
      <w:r>
        <w:rPr>
          <w:rFonts w:hint="eastAsia" w:ascii="Times New Roman" w:hAnsi="Times New Roman" w:eastAsia="仿宋_GB2312" w:cs="仿宋_GB2312"/>
          <w:sz w:val="30"/>
          <w:szCs w:val="30"/>
          <w:highlight w:val="none"/>
          <w:lang w:eastAsia="zh-CN"/>
        </w:rPr>
        <w:t>.</w:t>
      </w:r>
      <w:r>
        <w:rPr>
          <w:rFonts w:hint="eastAsia" w:ascii="Times New Roman" w:hAnsi="Times New Roman" w:eastAsia="仿宋_GB2312" w:cs="仿宋_GB2312"/>
          <w:sz w:val="30"/>
          <w:szCs w:val="30"/>
          <w:highlight w:val="none"/>
          <w:lang w:val="en-US" w:eastAsia="zh-CN"/>
        </w:rPr>
        <w:t xml:space="preserve"> </w:t>
      </w:r>
      <w:r>
        <w:rPr>
          <w:rFonts w:hint="eastAsia" w:ascii="Times New Roman" w:hAnsi="Times New Roman" w:eastAsia="仿宋_GB2312" w:cs="仿宋_GB2312"/>
          <w:sz w:val="30"/>
          <w:szCs w:val="30"/>
          <w:highlight w:val="none"/>
          <w:lang w:eastAsia="zh-CN"/>
        </w:rPr>
        <w:t>城乡社区支出(类)其他城乡社区支出(款)其他城乡社区支出(项)年初预算为48880000元，支出决算为48880000元，完成年初预算的100 %。</w:t>
      </w:r>
      <w:r>
        <w:rPr>
          <w:rFonts w:hint="eastAsia" w:ascii="Times New Roman" w:hAnsi="Times New Roman" w:eastAsia="仿宋_GB2312" w:cs="仿宋_GB2312"/>
          <w:sz w:val="30"/>
          <w:szCs w:val="30"/>
          <w:highlight w:val="none"/>
          <w:lang w:eastAsia="zh-CN"/>
        </w:rPr>
        <w:br w:type="textWrapping"/>
      </w:r>
      <w:r>
        <w:rPr>
          <w:rFonts w:hint="eastAsia" w:ascii="Times New Roman" w:hAnsi="Times New Roman" w:eastAsia="仿宋_GB2312" w:cs="仿宋_GB2312"/>
          <w:sz w:val="30"/>
          <w:szCs w:val="30"/>
          <w:highlight w:val="none"/>
          <w:lang w:val="en-US" w:eastAsia="zh-CN"/>
        </w:rPr>
        <w:t xml:space="preserve">    8</w:t>
      </w:r>
      <w:r>
        <w:rPr>
          <w:rFonts w:hint="eastAsia" w:ascii="Times New Roman" w:hAnsi="Times New Roman" w:eastAsia="仿宋_GB2312" w:cs="仿宋_GB2312"/>
          <w:sz w:val="30"/>
          <w:szCs w:val="30"/>
          <w:highlight w:val="none"/>
          <w:lang w:eastAsia="zh-CN"/>
        </w:rPr>
        <w:t>.</w:t>
      </w:r>
      <w:r>
        <w:rPr>
          <w:rFonts w:hint="eastAsia" w:ascii="Times New Roman" w:hAnsi="Times New Roman" w:eastAsia="仿宋_GB2312" w:cs="仿宋_GB2312"/>
          <w:sz w:val="30"/>
          <w:szCs w:val="30"/>
          <w:highlight w:val="none"/>
          <w:lang w:val="en-US" w:eastAsia="zh-CN"/>
        </w:rPr>
        <w:t xml:space="preserve"> </w:t>
      </w:r>
      <w:r>
        <w:rPr>
          <w:rFonts w:hint="eastAsia" w:ascii="Times New Roman" w:hAnsi="Times New Roman" w:eastAsia="仿宋_GB2312" w:cs="仿宋_GB2312"/>
          <w:sz w:val="30"/>
          <w:szCs w:val="30"/>
          <w:highlight w:val="none"/>
          <w:lang w:eastAsia="zh-CN"/>
        </w:rPr>
        <w:t>其他支出(类)其他支出(款)其他支出(项)年初预算为11120000元，支出决算为11120000元，完成年初预算的100%。</w:t>
      </w:r>
    </w:p>
    <w:p w14:paraId="1D27D167">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highlight w:val="none"/>
        </w:rPr>
      </w:pPr>
      <w:r>
        <w:rPr>
          <w:rFonts w:hint="eastAsia" w:ascii="Times New Roman" w:hAnsi="Times New Roman" w:eastAsia="黑体" w:cs="黑体"/>
          <w:b/>
          <w:bCs/>
          <w:kern w:val="0"/>
          <w:sz w:val="30"/>
          <w:szCs w:val="30"/>
          <w:highlight w:val="none"/>
        </w:rPr>
        <w:t>六、一般公共预算财政拨款基本支出决算情况说明</w:t>
      </w:r>
    </w:p>
    <w:p w14:paraId="2A215649">
      <w:pPr>
        <w:autoSpaceDE w:val="0"/>
        <w:autoSpaceDN w:val="0"/>
        <w:adjustRightInd w:val="0"/>
        <w:spacing w:line="600" w:lineRule="exact"/>
        <w:ind w:firstLine="720"/>
        <w:jc w:val="left"/>
        <w:rPr>
          <w:rFonts w:hint="eastAsia" w:ascii="Times New Roman" w:hAnsi="Times New Roman" w:eastAsia="仿宋_GB2312" w:cs="仿宋_GB2312"/>
          <w:kern w:val="0"/>
          <w:sz w:val="30"/>
          <w:szCs w:val="30"/>
          <w:highlight w:val="none"/>
        </w:rPr>
      </w:pPr>
      <w:r>
        <w:rPr>
          <w:rFonts w:hint="eastAsia" w:ascii="Times New Roman" w:hAnsi="Times New Roman" w:eastAsia="仿宋_GB2312" w:cs="仿宋_GB2312"/>
          <w:sz w:val="30"/>
          <w:szCs w:val="30"/>
          <w:highlight w:val="none"/>
          <w:lang w:eastAsia="zh-CN"/>
        </w:rPr>
        <w:t>天津市第一中心医院</w:t>
      </w:r>
      <w:r>
        <w:rPr>
          <w:rFonts w:hint="eastAsia" w:ascii="Times New Roman" w:hAnsi="Times New Roman" w:eastAsia="宋体" w:cs="宋体"/>
          <w:sz w:val="30"/>
          <w:szCs w:val="30"/>
          <w:highlight w:val="none"/>
          <w:lang w:eastAsia="zh-CN"/>
        </w:rPr>
        <w:t>2023</w:t>
      </w:r>
      <w:r>
        <w:rPr>
          <w:rFonts w:hint="eastAsia" w:ascii="Times New Roman" w:hAnsi="Times New Roman" w:eastAsia="仿宋_GB2312" w:cs="仿宋_GB2312"/>
          <w:sz w:val="30"/>
          <w:szCs w:val="30"/>
          <w:highlight w:val="none"/>
        </w:rPr>
        <w:t>年度部门决算一般公共预算财政拨款基本支出合计</w:t>
      </w:r>
      <w:r>
        <w:rPr>
          <w:rFonts w:hint="eastAsia" w:ascii="Times New Roman" w:hAnsi="Times New Roman" w:eastAsia="仿宋_GB2312" w:cs="Times New Roman"/>
          <w:sz w:val="30"/>
          <w:szCs w:val="30"/>
          <w:highlight w:val="none"/>
          <w:lang w:eastAsia="zh-CN"/>
        </w:rPr>
        <w:t>68,251,000.00</w:t>
      </w:r>
      <w:r>
        <w:rPr>
          <w:rFonts w:hint="eastAsia" w:ascii="Times New Roman" w:hAnsi="Times New Roman" w:eastAsia="仿宋_GB2312" w:cs="仿宋_GB2312"/>
          <w:sz w:val="30"/>
          <w:szCs w:val="30"/>
          <w:highlight w:val="none"/>
        </w:rPr>
        <w:t>元，与</w:t>
      </w:r>
      <w:r>
        <w:rPr>
          <w:rFonts w:hint="eastAsia" w:ascii="Times New Roman" w:hAnsi="Times New Roman" w:eastAsia="仿宋_GB2312" w:cs="Times New Roman"/>
          <w:sz w:val="30"/>
          <w:szCs w:val="30"/>
          <w:highlight w:val="none"/>
          <w:lang w:eastAsia="zh-CN"/>
        </w:rPr>
        <w:t>2022</w:t>
      </w:r>
      <w:r>
        <w:rPr>
          <w:rFonts w:hint="eastAsia" w:ascii="Times New Roman" w:hAnsi="Times New Roman" w:eastAsia="仿宋_GB2312" w:cs="仿宋_GB2312"/>
          <w:sz w:val="30"/>
          <w:szCs w:val="30"/>
          <w:highlight w:val="none"/>
        </w:rPr>
        <w:t>年度相比</w:t>
      </w:r>
      <w:r>
        <w:rPr>
          <w:rFonts w:hint="eastAsia" w:ascii="Times New Roman" w:hAnsi="Times New Roman" w:eastAsia="仿宋_GB2312" w:cs="仿宋_GB2312"/>
          <w:sz w:val="30"/>
          <w:szCs w:val="30"/>
          <w:highlight w:val="none"/>
          <w:lang w:val="en-US" w:eastAsia="zh-CN"/>
        </w:rPr>
        <w:t>增加</w:t>
      </w:r>
      <w:r>
        <w:rPr>
          <w:rFonts w:hint="eastAsia" w:ascii="Times New Roman" w:hAnsi="Times New Roman" w:eastAsia="仿宋_GB2312" w:cs="仿宋_GB2312"/>
          <w:sz w:val="30"/>
          <w:szCs w:val="30"/>
          <w:highlight w:val="none"/>
          <w:lang w:eastAsia="zh-CN"/>
        </w:rPr>
        <w:t>958,000.00</w:t>
      </w:r>
      <w:r>
        <w:rPr>
          <w:rFonts w:hint="eastAsia" w:ascii="Times New Roman" w:hAnsi="Times New Roman" w:eastAsia="仿宋_GB2312" w:cs="仿宋_GB2312"/>
          <w:sz w:val="30"/>
          <w:szCs w:val="30"/>
          <w:highlight w:val="none"/>
        </w:rPr>
        <w:t>元，</w:t>
      </w:r>
      <w:r>
        <w:rPr>
          <w:rFonts w:hint="eastAsia" w:ascii="Times New Roman" w:hAnsi="Times New Roman" w:eastAsia="仿宋_GB2312" w:cs="仿宋_GB2312"/>
          <w:kern w:val="0"/>
          <w:sz w:val="30"/>
          <w:szCs w:val="30"/>
          <w:highlight w:val="none"/>
        </w:rPr>
        <w:t>主要原因是</w:t>
      </w:r>
      <w:r>
        <w:rPr>
          <w:rFonts w:hint="eastAsia" w:ascii="Times New Roman" w:hAnsi="Times New Roman" w:eastAsia="楷体_GB2312" w:cs="楷体_GB2312"/>
          <w:sz w:val="30"/>
          <w:szCs w:val="30"/>
          <w:highlight w:val="none"/>
        </w:rPr>
        <w:t>：</w:t>
      </w:r>
      <w:r>
        <w:rPr>
          <w:rFonts w:hint="eastAsia" w:ascii="Times New Roman" w:hAnsi="Times New Roman" w:eastAsia="仿宋_GB2312" w:cs="仿宋_GB2312"/>
          <w:sz w:val="30"/>
          <w:szCs w:val="30"/>
          <w:highlight w:val="none"/>
          <w:lang w:eastAsia="zh-CN"/>
        </w:rPr>
        <w:t>养老保险、职业年金及离退休经费、公用经费均有所增长。</w:t>
      </w:r>
      <w:r>
        <w:rPr>
          <w:rFonts w:hint="eastAsia" w:ascii="Times New Roman" w:hAnsi="Times New Roman" w:eastAsia="仿宋_GB2312" w:cs="仿宋_GB2312"/>
          <w:kern w:val="0"/>
          <w:sz w:val="30"/>
          <w:szCs w:val="30"/>
          <w:highlight w:val="none"/>
        </w:rPr>
        <w:t>其中：</w:t>
      </w:r>
    </w:p>
    <w:p w14:paraId="72D8B338">
      <w:pPr>
        <w:autoSpaceDE w:val="0"/>
        <w:autoSpaceDN w:val="0"/>
        <w:adjustRightInd w:val="0"/>
        <w:spacing w:line="600" w:lineRule="exact"/>
        <w:ind w:firstLine="720"/>
        <w:jc w:val="left"/>
        <w:rPr>
          <w:rFonts w:hint="eastAsia" w:ascii="Times New Roman" w:hAnsi="Times New Roman" w:eastAsia="黑体" w:cs="黑体"/>
          <w:b/>
          <w:bCs/>
          <w:kern w:val="0"/>
          <w:sz w:val="30"/>
          <w:szCs w:val="30"/>
          <w:highlight w:val="none"/>
        </w:rPr>
      </w:pPr>
      <w:r>
        <w:rPr>
          <w:rFonts w:hint="eastAsia" w:ascii="Times New Roman" w:hAnsi="Times New Roman" w:eastAsia="仿宋_GB2312" w:cs="仿宋_GB2312"/>
          <w:kern w:val="0"/>
          <w:sz w:val="30"/>
          <w:szCs w:val="30"/>
          <w:highlight w:val="none"/>
        </w:rPr>
        <w:t>人员经费</w:t>
      </w:r>
      <w:r>
        <w:rPr>
          <w:rFonts w:hint="eastAsia" w:ascii="Times New Roman" w:hAnsi="Times New Roman" w:eastAsia="仿宋_GB2312" w:cs="Times New Roman"/>
          <w:sz w:val="30"/>
          <w:szCs w:val="30"/>
          <w:highlight w:val="none"/>
          <w:lang w:eastAsia="zh-CN"/>
        </w:rPr>
        <w:t>67,322,000.00</w:t>
      </w:r>
      <w:r>
        <w:rPr>
          <w:rFonts w:hint="eastAsia" w:ascii="Times New Roman" w:hAnsi="Times New Roman" w:eastAsia="仿宋_GB2312" w:cs="仿宋_GB2312"/>
          <w:kern w:val="0"/>
          <w:sz w:val="30"/>
          <w:szCs w:val="30"/>
          <w:highlight w:val="none"/>
        </w:rPr>
        <w:t>元，主要包括</w:t>
      </w:r>
      <w:r>
        <w:rPr>
          <w:rFonts w:hint="eastAsia" w:ascii="Times New Roman" w:hAnsi="Times New Roman" w:eastAsia="仿宋_GB2312" w:cs="仿宋_GB2312"/>
          <w:sz w:val="30"/>
          <w:szCs w:val="30"/>
          <w:highlight w:val="none"/>
          <w:lang w:eastAsia="zh-CN"/>
        </w:rPr>
        <w:t>机关事业单位基本养老保险缴费、职业年金缴费、职工基本医疗保险缴费、其他社会保障缴费、离休费、退休费、医疗费补助。</w:t>
      </w:r>
    </w:p>
    <w:p w14:paraId="6C26ADE6">
      <w:pPr>
        <w:autoSpaceDE w:val="0"/>
        <w:autoSpaceDN w:val="0"/>
        <w:adjustRightInd w:val="0"/>
        <w:spacing w:line="600" w:lineRule="exact"/>
        <w:ind w:firstLine="720"/>
        <w:jc w:val="left"/>
        <w:rPr>
          <w:rFonts w:hint="eastAsia" w:ascii="Times New Roman" w:hAnsi="Times New Roman" w:eastAsia="黑体" w:cs="黑体"/>
          <w:b/>
          <w:bCs/>
          <w:kern w:val="0"/>
          <w:sz w:val="30"/>
          <w:szCs w:val="30"/>
          <w:highlight w:val="none"/>
        </w:rPr>
      </w:pPr>
      <w:r>
        <w:rPr>
          <w:rFonts w:hint="eastAsia" w:ascii="Times New Roman" w:hAnsi="Times New Roman" w:eastAsia="仿宋_GB2312" w:cs="仿宋_GB2312"/>
          <w:kern w:val="0"/>
          <w:sz w:val="30"/>
          <w:szCs w:val="30"/>
          <w:highlight w:val="none"/>
        </w:rPr>
        <w:t>公用经费</w:t>
      </w:r>
      <w:r>
        <w:rPr>
          <w:rFonts w:hint="eastAsia" w:ascii="Times New Roman" w:hAnsi="Times New Roman" w:eastAsia="仿宋_GB2312" w:cs="Times New Roman"/>
          <w:sz w:val="30"/>
          <w:szCs w:val="30"/>
          <w:highlight w:val="none"/>
          <w:lang w:eastAsia="zh-CN"/>
        </w:rPr>
        <w:t>929,000.00</w:t>
      </w:r>
      <w:r>
        <w:rPr>
          <w:rFonts w:hint="eastAsia" w:ascii="Times New Roman" w:hAnsi="Times New Roman" w:eastAsia="仿宋_GB2312" w:cs="仿宋_GB2312"/>
          <w:kern w:val="0"/>
          <w:sz w:val="30"/>
          <w:szCs w:val="30"/>
          <w:highlight w:val="none"/>
        </w:rPr>
        <w:t>元，主要包括</w:t>
      </w:r>
      <w:r>
        <w:rPr>
          <w:rFonts w:hint="eastAsia" w:ascii="Times New Roman" w:hAnsi="Times New Roman" w:eastAsia="仿宋_GB2312" w:cs="仿宋_GB2312"/>
          <w:sz w:val="30"/>
          <w:szCs w:val="30"/>
          <w:highlight w:val="none"/>
          <w:lang w:eastAsia="zh-CN"/>
        </w:rPr>
        <w:t>福利费。</w:t>
      </w:r>
    </w:p>
    <w:p w14:paraId="5CA0B446">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highlight w:val="none"/>
        </w:rPr>
      </w:pPr>
      <w:r>
        <w:rPr>
          <w:rFonts w:hint="eastAsia" w:ascii="Times New Roman" w:hAnsi="Times New Roman" w:eastAsia="黑体" w:cs="黑体"/>
          <w:b/>
          <w:bCs/>
          <w:kern w:val="0"/>
          <w:sz w:val="30"/>
          <w:szCs w:val="30"/>
          <w:highlight w:val="none"/>
        </w:rPr>
        <w:t>七、政府性基金预算财政拨款收支决算情况</w:t>
      </w:r>
    </w:p>
    <w:p w14:paraId="363DFBD4">
      <w:pPr>
        <w:autoSpaceDE w:val="0"/>
        <w:autoSpaceDN w:val="0"/>
        <w:adjustRightInd w:val="0"/>
        <w:spacing w:line="580" w:lineRule="exact"/>
        <w:ind w:firstLine="600"/>
        <w:jc w:val="left"/>
        <w:rPr>
          <w:rFonts w:hint="default" w:ascii="Times New Roman" w:hAnsi="Times New Roman" w:eastAsia="楷体" w:cs="楷体"/>
          <w:kern w:val="0"/>
          <w:sz w:val="30"/>
          <w:szCs w:val="30"/>
          <w:highlight w:val="none"/>
          <w:lang w:val="en-US"/>
        </w:rPr>
      </w:pPr>
      <w:r>
        <w:rPr>
          <w:rFonts w:hint="eastAsia" w:ascii="Times New Roman" w:hAnsi="Times New Roman" w:eastAsia="仿宋_GB2312" w:cs="仿宋_GB2312"/>
          <w:sz w:val="30"/>
          <w:szCs w:val="30"/>
          <w:highlight w:val="none"/>
          <w:lang w:eastAsia="zh-CN"/>
        </w:rPr>
        <w:t>天津市第一中心医院</w:t>
      </w:r>
      <w:r>
        <w:rPr>
          <w:rFonts w:hint="eastAsia" w:ascii="Times New Roman" w:hAnsi="Times New Roman" w:eastAsia="宋体" w:cs="宋体"/>
          <w:sz w:val="30"/>
          <w:szCs w:val="30"/>
          <w:highlight w:val="none"/>
          <w:lang w:eastAsia="zh-CN"/>
        </w:rPr>
        <w:t>2023</w:t>
      </w:r>
      <w:r>
        <w:rPr>
          <w:rFonts w:hint="eastAsia" w:ascii="Times New Roman" w:hAnsi="Times New Roman" w:eastAsia="仿宋_GB2312" w:cs="仿宋_GB2312"/>
          <w:sz w:val="30"/>
          <w:szCs w:val="30"/>
          <w:highlight w:val="none"/>
        </w:rPr>
        <w:t>年度部门决算政府性基金预算财政拨款</w:t>
      </w:r>
      <w:r>
        <w:rPr>
          <w:rFonts w:hint="eastAsia" w:ascii="Times New Roman" w:hAnsi="Times New Roman" w:eastAsia="仿宋_GB2312" w:cs="仿宋_GB2312"/>
          <w:kern w:val="0"/>
          <w:sz w:val="30"/>
          <w:szCs w:val="30"/>
          <w:highlight w:val="none"/>
        </w:rPr>
        <w:t>年初结转和结余</w:t>
      </w:r>
      <w:r>
        <w:rPr>
          <w:rFonts w:hint="eastAsia" w:ascii="Times New Roman" w:hAnsi="Times New Roman" w:eastAsia="仿宋_GB2312" w:cs="Times New Roman"/>
          <w:sz w:val="30"/>
          <w:szCs w:val="30"/>
          <w:highlight w:val="none"/>
          <w:lang w:eastAsia="zh-CN"/>
        </w:rPr>
        <w:t>0.00</w:t>
      </w:r>
      <w:r>
        <w:rPr>
          <w:rFonts w:hint="eastAsia" w:ascii="Times New Roman" w:hAnsi="Times New Roman" w:eastAsia="仿宋_GB2312" w:cs="仿宋_GB2312"/>
          <w:kern w:val="0"/>
          <w:sz w:val="30"/>
          <w:szCs w:val="30"/>
          <w:highlight w:val="none"/>
        </w:rPr>
        <w:t>元，收入</w:t>
      </w:r>
      <w:r>
        <w:rPr>
          <w:rFonts w:hint="eastAsia" w:ascii="Times New Roman" w:hAnsi="Times New Roman" w:eastAsia="仿宋_GB2312" w:cs="Times New Roman"/>
          <w:sz w:val="30"/>
          <w:szCs w:val="30"/>
          <w:highlight w:val="none"/>
          <w:lang w:eastAsia="zh-CN"/>
        </w:rPr>
        <w:t>63,320,000.00</w:t>
      </w:r>
      <w:r>
        <w:rPr>
          <w:rFonts w:hint="eastAsia" w:ascii="Times New Roman" w:hAnsi="Times New Roman" w:eastAsia="仿宋_GB2312" w:cs="仿宋_GB2312"/>
          <w:kern w:val="0"/>
          <w:sz w:val="30"/>
          <w:szCs w:val="30"/>
          <w:highlight w:val="none"/>
        </w:rPr>
        <w:t>元，</w:t>
      </w:r>
      <w:r>
        <w:rPr>
          <w:rFonts w:hint="eastAsia" w:ascii="Times New Roman" w:hAnsi="Times New Roman" w:eastAsia="仿宋_GB2312" w:cs="仿宋_GB2312"/>
          <w:sz w:val="30"/>
          <w:szCs w:val="30"/>
          <w:highlight w:val="none"/>
        </w:rPr>
        <w:t>支出</w:t>
      </w:r>
      <w:r>
        <w:rPr>
          <w:rFonts w:hint="eastAsia" w:ascii="Times New Roman" w:hAnsi="Times New Roman" w:eastAsia="仿宋_GB2312" w:cs="Times New Roman"/>
          <w:sz w:val="30"/>
          <w:szCs w:val="30"/>
          <w:highlight w:val="none"/>
          <w:lang w:eastAsia="zh-CN"/>
        </w:rPr>
        <w:t>63,320,000.00</w:t>
      </w:r>
      <w:r>
        <w:rPr>
          <w:rFonts w:hint="eastAsia" w:ascii="Times New Roman" w:hAnsi="Times New Roman" w:eastAsia="仿宋_GB2312" w:cs="仿宋_GB2312"/>
          <w:sz w:val="30"/>
          <w:szCs w:val="30"/>
          <w:highlight w:val="none"/>
        </w:rPr>
        <w:t>元，年末结转和结余</w:t>
      </w:r>
      <w:r>
        <w:rPr>
          <w:rFonts w:hint="eastAsia" w:ascii="Times New Roman" w:hAnsi="Times New Roman" w:eastAsia="仿宋_GB2312" w:cs="Times New Roman"/>
          <w:sz w:val="30"/>
          <w:szCs w:val="30"/>
          <w:highlight w:val="none"/>
          <w:lang w:eastAsia="zh-CN"/>
        </w:rPr>
        <w:t>0.00</w:t>
      </w:r>
      <w:r>
        <w:rPr>
          <w:rFonts w:hint="eastAsia" w:ascii="Times New Roman" w:hAnsi="Times New Roman" w:eastAsia="仿宋_GB2312" w:cs="仿宋_GB2312"/>
          <w:sz w:val="30"/>
          <w:szCs w:val="30"/>
          <w:highlight w:val="none"/>
        </w:rPr>
        <w:t>元。与</w:t>
      </w:r>
      <w:r>
        <w:rPr>
          <w:rFonts w:hint="eastAsia" w:ascii="Times New Roman" w:hAnsi="Times New Roman" w:eastAsia="仿宋_GB2312" w:cs="Times New Roman"/>
          <w:sz w:val="30"/>
          <w:szCs w:val="30"/>
          <w:highlight w:val="none"/>
          <w:lang w:eastAsia="zh-CN"/>
        </w:rPr>
        <w:t>2022</w:t>
      </w:r>
      <w:r>
        <w:rPr>
          <w:rFonts w:hint="eastAsia" w:ascii="Times New Roman" w:hAnsi="Times New Roman" w:eastAsia="仿宋_GB2312" w:cs="仿宋_GB2312"/>
          <w:sz w:val="30"/>
          <w:szCs w:val="30"/>
          <w:highlight w:val="none"/>
        </w:rPr>
        <w:t>年度相比，政府性基金财政拨款支出</w:t>
      </w:r>
      <w:r>
        <w:rPr>
          <w:rFonts w:hint="eastAsia" w:ascii="Times New Roman" w:hAnsi="Times New Roman" w:eastAsia="仿宋_GB2312" w:cs="仿宋_GB2312"/>
          <w:sz w:val="30"/>
          <w:szCs w:val="30"/>
          <w:highlight w:val="none"/>
          <w:lang w:val="en-US" w:eastAsia="zh-CN"/>
        </w:rPr>
        <w:t>增加</w:t>
      </w:r>
      <w:r>
        <w:rPr>
          <w:rFonts w:hint="eastAsia" w:ascii="Times New Roman" w:hAnsi="Times New Roman" w:eastAsia="仿宋_GB2312" w:cs="仿宋_GB2312"/>
          <w:sz w:val="30"/>
          <w:szCs w:val="30"/>
          <w:highlight w:val="none"/>
          <w:lang w:eastAsia="zh-CN"/>
        </w:rPr>
        <w:t>57,044,514.00</w:t>
      </w:r>
      <w:r>
        <w:rPr>
          <w:rFonts w:hint="eastAsia" w:ascii="Times New Roman" w:hAnsi="Times New Roman" w:eastAsia="仿宋_GB2312" w:cs="仿宋_GB2312"/>
          <w:sz w:val="30"/>
          <w:szCs w:val="30"/>
          <w:highlight w:val="none"/>
        </w:rPr>
        <w:t>元，</w:t>
      </w:r>
      <w:r>
        <w:rPr>
          <w:rFonts w:hint="eastAsia" w:ascii="Times New Roman" w:hAnsi="Times New Roman" w:eastAsia="仿宋_GB2312" w:cs="仿宋_GB2312"/>
          <w:sz w:val="30"/>
          <w:szCs w:val="30"/>
          <w:highlight w:val="none"/>
          <w:lang w:val="en-US" w:eastAsia="zh-CN"/>
        </w:rPr>
        <w:t>增长</w:t>
      </w:r>
      <w:r>
        <w:rPr>
          <w:rFonts w:hint="eastAsia" w:ascii="Times New Roman" w:hAnsi="Times New Roman" w:eastAsia="仿宋_GB2312" w:cs="仿宋_GB2312"/>
          <w:sz w:val="30"/>
          <w:szCs w:val="30"/>
          <w:highlight w:val="none"/>
          <w:lang w:eastAsia="zh-CN"/>
        </w:rPr>
        <w:t>909.01%</w:t>
      </w:r>
      <w:r>
        <w:rPr>
          <w:rFonts w:hint="eastAsia" w:ascii="Times New Roman" w:hAnsi="Times New Roman" w:eastAsia="仿宋_GB2312" w:cs="仿宋_GB2312"/>
          <w:sz w:val="30"/>
          <w:szCs w:val="30"/>
          <w:highlight w:val="none"/>
        </w:rPr>
        <w:t>，</w:t>
      </w:r>
      <w:r>
        <w:rPr>
          <w:rFonts w:hint="eastAsia" w:ascii="Times New Roman" w:hAnsi="Times New Roman" w:eastAsia="仿宋_GB2312" w:cs="仿宋_GB2312"/>
          <w:kern w:val="0"/>
          <w:sz w:val="30"/>
          <w:szCs w:val="30"/>
          <w:highlight w:val="none"/>
        </w:rPr>
        <w:t>主要原因是</w:t>
      </w:r>
      <w:r>
        <w:rPr>
          <w:rFonts w:hint="eastAsia" w:ascii="Times New Roman" w:hAnsi="Times New Roman" w:eastAsia="楷体_GB2312" w:cs="楷体_GB2312"/>
          <w:sz w:val="30"/>
          <w:szCs w:val="30"/>
          <w:highlight w:val="none"/>
          <w:lang w:val="zh-CN"/>
        </w:rPr>
        <w:t>：</w:t>
      </w:r>
      <w:r>
        <w:rPr>
          <w:rFonts w:hint="eastAsia" w:ascii="Times New Roman" w:hAnsi="Times New Roman" w:eastAsia="仿宋_GB2312" w:cs="仿宋_GB2312"/>
          <w:sz w:val="30"/>
          <w:szCs w:val="30"/>
          <w:highlight w:val="none"/>
          <w:lang w:eastAsia="zh-CN"/>
        </w:rPr>
        <w:t>2023年新增专项债券付息。</w:t>
      </w:r>
    </w:p>
    <w:p w14:paraId="2B29A86E">
      <w:pPr>
        <w:keepNext/>
        <w:keepLines/>
        <w:autoSpaceDE w:val="0"/>
        <w:autoSpaceDN w:val="0"/>
        <w:adjustRightInd w:val="0"/>
        <w:spacing w:line="600" w:lineRule="exact"/>
        <w:ind w:firstLine="602"/>
        <w:jc w:val="left"/>
        <w:outlineLvl w:val="1"/>
        <w:rPr>
          <w:rFonts w:hint="eastAsia" w:ascii="Times New Roman" w:hAnsi="Times New Roman" w:eastAsia="黑体" w:cs="黑体"/>
          <w:b/>
          <w:bCs/>
          <w:kern w:val="0"/>
          <w:sz w:val="30"/>
          <w:szCs w:val="30"/>
          <w:highlight w:val="none"/>
        </w:rPr>
      </w:pPr>
      <w:r>
        <w:rPr>
          <w:rFonts w:hint="eastAsia" w:ascii="Times New Roman" w:hAnsi="Times New Roman" w:eastAsia="黑体" w:cs="黑体"/>
          <w:b/>
          <w:bCs/>
          <w:kern w:val="0"/>
          <w:sz w:val="30"/>
          <w:szCs w:val="30"/>
          <w:highlight w:val="none"/>
        </w:rPr>
        <w:t>八、国有资本经营预算财政拨款收支决算情况说明</w:t>
      </w:r>
    </w:p>
    <w:p w14:paraId="3E108183">
      <w:pPr>
        <w:autoSpaceDE w:val="0"/>
        <w:autoSpaceDN w:val="0"/>
        <w:adjustRightInd w:val="0"/>
        <w:spacing w:line="600" w:lineRule="exact"/>
        <w:ind w:firstLine="600"/>
        <w:jc w:val="left"/>
        <w:rPr>
          <w:rFonts w:hint="eastAsia" w:ascii="Times New Roman" w:hAnsi="Times New Roman" w:eastAsia="仿宋_GB2312" w:cs="仿宋_GB2312"/>
          <w:sz w:val="30"/>
          <w:szCs w:val="30"/>
          <w:highlight w:val="none"/>
          <w:lang w:eastAsia="zh-CN"/>
        </w:rPr>
      </w:pPr>
      <w:r>
        <w:rPr>
          <w:rFonts w:hint="eastAsia" w:ascii="Times New Roman" w:hAnsi="Times New Roman" w:eastAsia="仿宋_GB2312" w:cs="仿宋_GB2312"/>
          <w:sz w:val="30"/>
          <w:szCs w:val="30"/>
          <w:highlight w:val="none"/>
          <w:lang w:eastAsia="zh-CN"/>
        </w:rPr>
        <w:t>天津市第一中心医院2023年度无国有资本经营预算财政拨款收入、支出和结转结余。</w:t>
      </w:r>
    </w:p>
    <w:p w14:paraId="2BF6CB4B">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highlight w:val="none"/>
        </w:rPr>
      </w:pPr>
      <w:r>
        <w:rPr>
          <w:rFonts w:hint="eastAsia" w:ascii="Times New Roman" w:hAnsi="Times New Roman" w:eastAsia="黑体" w:cs="黑体"/>
          <w:b/>
          <w:bCs/>
          <w:kern w:val="0"/>
          <w:sz w:val="30"/>
          <w:szCs w:val="30"/>
          <w:highlight w:val="none"/>
        </w:rPr>
        <w:t>九、财政拨款</w:t>
      </w:r>
      <w:r>
        <w:rPr>
          <w:rFonts w:ascii="Times New Roman" w:hAnsi="Times New Roman" w:eastAsia="黑体" w:cs="黑体"/>
          <w:b/>
          <w:bCs/>
          <w:kern w:val="0"/>
          <w:sz w:val="30"/>
          <w:szCs w:val="30"/>
          <w:highlight w:val="none"/>
        </w:rPr>
        <w:t>“</w:t>
      </w:r>
      <w:r>
        <w:rPr>
          <w:rFonts w:hint="eastAsia" w:ascii="Times New Roman" w:hAnsi="Times New Roman" w:eastAsia="黑体" w:cs="黑体"/>
          <w:b/>
          <w:bCs/>
          <w:kern w:val="0"/>
          <w:sz w:val="30"/>
          <w:szCs w:val="30"/>
          <w:highlight w:val="none"/>
        </w:rPr>
        <w:t>三公</w:t>
      </w:r>
      <w:r>
        <w:rPr>
          <w:rFonts w:ascii="Times New Roman" w:hAnsi="Times New Roman" w:eastAsia="黑体" w:cs="黑体"/>
          <w:b/>
          <w:bCs/>
          <w:kern w:val="0"/>
          <w:sz w:val="30"/>
          <w:szCs w:val="30"/>
          <w:highlight w:val="none"/>
        </w:rPr>
        <w:t>”</w:t>
      </w:r>
      <w:r>
        <w:rPr>
          <w:rFonts w:hint="eastAsia" w:ascii="Times New Roman" w:hAnsi="Times New Roman" w:eastAsia="黑体" w:cs="黑体"/>
          <w:b/>
          <w:bCs/>
          <w:kern w:val="0"/>
          <w:sz w:val="30"/>
          <w:szCs w:val="30"/>
          <w:highlight w:val="none"/>
        </w:rPr>
        <w:t>经费</w:t>
      </w:r>
      <w:r>
        <w:rPr>
          <w:rFonts w:hint="eastAsia" w:ascii="Times New Roman" w:hAnsi="Times New Roman" w:eastAsia="黑体" w:cs="黑体"/>
          <w:b/>
          <w:bCs/>
          <w:kern w:val="0"/>
          <w:sz w:val="30"/>
          <w:szCs w:val="30"/>
          <w:highlight w:val="none"/>
          <w:lang w:val="zh-CN"/>
        </w:rPr>
        <w:t>支出决算</w:t>
      </w:r>
      <w:r>
        <w:rPr>
          <w:rFonts w:hint="eastAsia" w:ascii="Times New Roman" w:hAnsi="Times New Roman" w:eastAsia="黑体" w:cs="黑体"/>
          <w:b/>
          <w:bCs/>
          <w:kern w:val="0"/>
          <w:sz w:val="30"/>
          <w:szCs w:val="30"/>
          <w:highlight w:val="none"/>
        </w:rPr>
        <w:t>情况</w:t>
      </w:r>
    </w:p>
    <w:p w14:paraId="45EB2DFE">
      <w:pPr>
        <w:autoSpaceDE w:val="0"/>
        <w:autoSpaceDN w:val="0"/>
        <w:adjustRightInd w:val="0"/>
        <w:spacing w:line="600" w:lineRule="exact"/>
        <w:ind w:firstLine="602"/>
        <w:jc w:val="left"/>
        <w:rPr>
          <w:rFonts w:hint="default" w:ascii="Times New Roman" w:hAnsi="Times New Roman" w:eastAsia="楷体" w:cs="楷体"/>
          <w:b/>
          <w:bCs/>
          <w:kern w:val="0"/>
          <w:sz w:val="30"/>
          <w:szCs w:val="30"/>
          <w:highlight w:val="none"/>
          <w:lang w:val="en-US" w:eastAsia="zh-CN"/>
        </w:rPr>
      </w:pPr>
      <w:r>
        <w:rPr>
          <w:rFonts w:hint="eastAsia" w:ascii="Times New Roman" w:hAnsi="Times New Roman" w:eastAsia="楷体" w:cs="楷体"/>
          <w:b/>
          <w:bCs/>
          <w:kern w:val="0"/>
          <w:sz w:val="30"/>
          <w:szCs w:val="30"/>
          <w:highlight w:val="none"/>
        </w:rPr>
        <w:t>（一）总体情况</w:t>
      </w:r>
      <w:r>
        <w:rPr>
          <w:rFonts w:hint="eastAsia" w:ascii="Times New Roman" w:hAnsi="Times New Roman" w:eastAsia="楷体" w:cs="楷体"/>
          <w:b/>
          <w:bCs/>
          <w:kern w:val="0"/>
          <w:sz w:val="30"/>
          <w:szCs w:val="30"/>
          <w:highlight w:val="none"/>
          <w:lang w:val="en-US" w:eastAsia="zh-CN"/>
        </w:rPr>
        <w:tab/>
      </w:r>
      <w:r>
        <w:rPr>
          <w:rFonts w:hint="eastAsia" w:ascii="Times New Roman" w:hAnsi="Times New Roman" w:eastAsia="楷体" w:cs="楷体"/>
          <w:b/>
          <w:bCs/>
          <w:kern w:val="0"/>
          <w:sz w:val="30"/>
          <w:szCs w:val="30"/>
          <w:highlight w:val="none"/>
          <w:lang w:val="en-US" w:eastAsia="zh-CN"/>
        </w:rPr>
        <w:tab/>
      </w:r>
      <w:r>
        <w:rPr>
          <w:rFonts w:hint="eastAsia" w:ascii="Times New Roman" w:hAnsi="Times New Roman" w:eastAsia="楷体" w:cs="楷体"/>
          <w:b/>
          <w:bCs/>
          <w:kern w:val="0"/>
          <w:sz w:val="30"/>
          <w:szCs w:val="30"/>
          <w:highlight w:val="none"/>
          <w:lang w:val="en-US" w:eastAsia="zh-CN"/>
        </w:rPr>
        <w:tab/>
      </w:r>
      <w:r>
        <w:rPr>
          <w:rFonts w:hint="eastAsia" w:ascii="Times New Roman" w:hAnsi="Times New Roman" w:eastAsia="楷体" w:cs="楷体"/>
          <w:b/>
          <w:bCs/>
          <w:kern w:val="0"/>
          <w:sz w:val="30"/>
          <w:szCs w:val="30"/>
          <w:highlight w:val="none"/>
          <w:lang w:val="en-US" w:eastAsia="zh-CN"/>
        </w:rPr>
        <w:tab/>
      </w:r>
    </w:p>
    <w:p w14:paraId="5AE4FC94">
      <w:pPr>
        <w:autoSpaceDE w:val="0"/>
        <w:autoSpaceDN w:val="0"/>
        <w:adjustRightInd w:val="0"/>
        <w:spacing w:line="600" w:lineRule="exact"/>
        <w:ind w:firstLine="600"/>
        <w:jc w:val="left"/>
        <w:rPr>
          <w:rFonts w:ascii="Times New Roman" w:hAnsi="Times New Roman" w:eastAsia="仿宋_GB2312" w:cs="Times New Roman"/>
          <w:kern w:val="0"/>
          <w:sz w:val="30"/>
          <w:szCs w:val="30"/>
          <w:highlight w:val="none"/>
        </w:rPr>
      </w:pPr>
      <w:r>
        <w:rPr>
          <w:rFonts w:ascii="Times New Roman" w:hAnsi="Times New Roman" w:eastAsia="仿宋_GB2312" w:cs="仿宋_GB2312"/>
          <w:kern w:val="0"/>
          <w:sz w:val="30"/>
          <w:szCs w:val="30"/>
          <w:highlight w:val="none"/>
        </w:rPr>
        <w:t>202</w:t>
      </w:r>
      <w:r>
        <w:rPr>
          <w:rFonts w:hint="eastAsia" w:ascii="Times New Roman" w:hAnsi="Times New Roman" w:eastAsia="仿宋_GB2312" w:cs="仿宋_GB2312"/>
          <w:kern w:val="0"/>
          <w:sz w:val="30"/>
          <w:szCs w:val="30"/>
          <w:highlight w:val="none"/>
          <w:lang w:val="en-US" w:eastAsia="zh-CN"/>
        </w:rPr>
        <w:t>3</w:t>
      </w:r>
      <w:r>
        <w:rPr>
          <w:rFonts w:hint="eastAsia" w:ascii="Times New Roman" w:hAnsi="Times New Roman" w:eastAsia="仿宋_GB2312" w:cs="仿宋_GB2312"/>
          <w:kern w:val="0"/>
          <w:sz w:val="30"/>
          <w:szCs w:val="30"/>
          <w:highlight w:val="none"/>
        </w:rPr>
        <w:t>年财政拨款</w:t>
      </w:r>
      <w:r>
        <w:rPr>
          <w:rFonts w:ascii="Times New Roman" w:hAnsi="Times New Roman" w:eastAsia="仿宋_GB2312" w:cs="仿宋_GB2312"/>
          <w:kern w:val="0"/>
          <w:sz w:val="30"/>
          <w:szCs w:val="30"/>
          <w:highlight w:val="none"/>
        </w:rPr>
        <w:t>“</w:t>
      </w:r>
      <w:r>
        <w:rPr>
          <w:rFonts w:hint="eastAsia" w:ascii="Times New Roman" w:hAnsi="Times New Roman" w:eastAsia="仿宋_GB2312" w:cs="仿宋_GB2312"/>
          <w:kern w:val="0"/>
          <w:sz w:val="30"/>
          <w:szCs w:val="30"/>
          <w:highlight w:val="none"/>
        </w:rPr>
        <w:t>三公</w:t>
      </w:r>
      <w:r>
        <w:rPr>
          <w:rFonts w:ascii="Times New Roman" w:hAnsi="Times New Roman" w:eastAsia="仿宋_GB2312" w:cs="仿宋_GB2312"/>
          <w:kern w:val="0"/>
          <w:sz w:val="30"/>
          <w:szCs w:val="30"/>
          <w:highlight w:val="none"/>
        </w:rPr>
        <w:t>”</w:t>
      </w:r>
      <w:r>
        <w:rPr>
          <w:rFonts w:hint="eastAsia" w:ascii="Times New Roman" w:hAnsi="Times New Roman" w:eastAsia="仿宋_GB2312" w:cs="仿宋_GB2312"/>
          <w:kern w:val="0"/>
          <w:sz w:val="30"/>
          <w:szCs w:val="30"/>
          <w:highlight w:val="none"/>
        </w:rPr>
        <w:t>经费预算</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元，支出决算</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元，与</w:t>
      </w:r>
      <w:r>
        <w:rPr>
          <w:rFonts w:ascii="Times New Roman" w:hAnsi="Times New Roman" w:eastAsia="仿宋_GB2312" w:cs="仿宋_GB2312"/>
          <w:kern w:val="0"/>
          <w:sz w:val="30"/>
          <w:szCs w:val="30"/>
          <w:highlight w:val="none"/>
        </w:rPr>
        <w:t>202</w:t>
      </w:r>
      <w:r>
        <w:rPr>
          <w:rFonts w:hint="eastAsia" w:ascii="Times New Roman" w:hAnsi="Times New Roman" w:eastAsia="仿宋_GB2312" w:cs="仿宋_GB2312"/>
          <w:kern w:val="0"/>
          <w:sz w:val="30"/>
          <w:szCs w:val="30"/>
          <w:highlight w:val="none"/>
          <w:lang w:val="en-US" w:eastAsia="zh-CN"/>
        </w:rPr>
        <w:t>3</w:t>
      </w:r>
      <w:r>
        <w:rPr>
          <w:rFonts w:hint="eastAsia" w:ascii="Times New Roman" w:hAnsi="Times New Roman" w:eastAsia="仿宋_GB2312" w:cs="仿宋_GB2312"/>
          <w:kern w:val="0"/>
          <w:sz w:val="30"/>
          <w:szCs w:val="30"/>
          <w:highlight w:val="none"/>
        </w:rPr>
        <w:t>年预算相比</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元，完成预算的</w:t>
      </w:r>
      <w:r>
        <w:rPr>
          <w:rFonts w:hint="eastAsia" w:ascii="Times New Roman" w:hAnsi="Times New Roman" w:eastAsia="仿宋_GB2312" w:cs="仿宋_GB2312"/>
          <w:kern w:val="0"/>
          <w:sz w:val="30"/>
          <w:szCs w:val="30"/>
          <w:highlight w:val="none"/>
          <w:lang w:eastAsia="zh-CN"/>
        </w:rPr>
        <w:t>0.0</w:t>
      </w:r>
      <w:r>
        <w:rPr>
          <w:rFonts w:hint="eastAsia" w:ascii="Times New Roman" w:hAnsi="Times New Roman" w:eastAsia="仿宋_GB2312" w:cs="仿宋_GB2312"/>
          <w:sz w:val="30"/>
          <w:szCs w:val="30"/>
          <w:highlight w:val="none"/>
          <w:lang w:eastAsia="zh-CN"/>
        </w:rPr>
        <w:t>%</w:t>
      </w:r>
      <w:r>
        <w:rPr>
          <w:rFonts w:hint="eastAsia" w:ascii="Times New Roman" w:hAnsi="Times New Roman" w:eastAsia="仿宋_GB2312" w:cs="仿宋_GB2312"/>
          <w:kern w:val="0"/>
          <w:sz w:val="30"/>
          <w:szCs w:val="30"/>
          <w:highlight w:val="none"/>
        </w:rPr>
        <w:t>；较上年</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仿宋_GB2312"/>
          <w:kern w:val="0"/>
          <w:sz w:val="30"/>
          <w:szCs w:val="30"/>
          <w:highlight w:val="none"/>
          <w:lang w:eastAsia="zh-CN"/>
        </w:rPr>
        <w:t>0.00</w:t>
      </w:r>
      <w:r>
        <w:rPr>
          <w:rFonts w:hint="eastAsia" w:ascii="Times New Roman" w:hAnsi="Times New Roman" w:eastAsia="仿宋_GB2312" w:cs="仿宋_GB2312"/>
          <w:kern w:val="0"/>
          <w:sz w:val="30"/>
          <w:szCs w:val="30"/>
          <w:highlight w:val="none"/>
        </w:rPr>
        <w:t>元，</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仿宋_GB2312"/>
          <w:kern w:val="0"/>
          <w:sz w:val="30"/>
          <w:szCs w:val="30"/>
          <w:highlight w:val="none"/>
          <w:lang w:eastAsia="zh-CN"/>
        </w:rPr>
        <w:t>0.0</w:t>
      </w:r>
      <w:r>
        <w:rPr>
          <w:rFonts w:hint="eastAsia" w:ascii="Times New Roman" w:hAnsi="Times New Roman" w:eastAsia="仿宋_GB2312" w:cs="Times New Roman"/>
          <w:sz w:val="30"/>
          <w:szCs w:val="30"/>
          <w:highlight w:val="none"/>
          <w:lang w:eastAsia="zh-CN"/>
        </w:rPr>
        <w:t>%</w:t>
      </w:r>
      <w:r>
        <w:rPr>
          <w:rFonts w:hint="eastAsia" w:ascii="Times New Roman" w:hAnsi="Times New Roman" w:eastAsia="仿宋_GB2312" w:cs="仿宋_GB2312"/>
          <w:kern w:val="0"/>
          <w:sz w:val="30"/>
          <w:szCs w:val="30"/>
          <w:highlight w:val="none"/>
        </w:rPr>
        <w:t>。决算数</w:t>
      </w:r>
      <w:r>
        <w:rPr>
          <w:rFonts w:hint="eastAsia" w:ascii="Times New Roman" w:hAnsi="Times New Roman" w:eastAsia="仿宋_GB2312" w:cs="仿宋_GB2312"/>
          <w:sz w:val="30"/>
          <w:szCs w:val="30"/>
          <w:highlight w:val="none"/>
          <w:lang w:eastAsia="zh-CN"/>
        </w:rPr>
        <w:t>等于</w:t>
      </w:r>
      <w:r>
        <w:rPr>
          <w:rFonts w:hint="eastAsia" w:ascii="Times New Roman" w:hAnsi="Times New Roman" w:eastAsia="仿宋_GB2312" w:cs="仿宋_GB2312"/>
          <w:kern w:val="0"/>
          <w:sz w:val="30"/>
          <w:szCs w:val="30"/>
          <w:highlight w:val="none"/>
        </w:rPr>
        <w:t>预算数的主要原因是：</w:t>
      </w:r>
      <w:r>
        <w:rPr>
          <w:rFonts w:hint="eastAsia" w:ascii="Times New Roman" w:hAnsi="Times New Roman" w:eastAsia="仿宋_GB2312" w:cs="仿宋_GB2312"/>
          <w:sz w:val="30"/>
          <w:szCs w:val="30"/>
          <w:highlight w:val="none"/>
          <w:lang w:eastAsia="zh-CN"/>
        </w:rPr>
        <w:t>本年度未用财政拨款经费列支“三公”经费</w:t>
      </w:r>
      <w:r>
        <w:rPr>
          <w:rFonts w:hint="eastAsia" w:ascii="Times New Roman" w:hAnsi="Times New Roman" w:eastAsia="仿宋_GB2312" w:cs="仿宋_GB2312"/>
          <w:kern w:val="0"/>
          <w:sz w:val="30"/>
          <w:szCs w:val="30"/>
          <w:highlight w:val="none"/>
        </w:rPr>
        <w:t>；决算数较上年</w:t>
      </w:r>
      <w:r>
        <w:rPr>
          <w:rFonts w:hint="eastAsia" w:ascii="Times New Roman" w:hAnsi="Times New Roman" w:eastAsia="仿宋_GB2312" w:cs="仿宋_GB2312"/>
          <w:sz w:val="30"/>
          <w:szCs w:val="30"/>
          <w:highlight w:val="none"/>
          <w:lang w:eastAsia="zh-CN"/>
        </w:rPr>
        <w:t>持平</w:t>
      </w:r>
      <w:r>
        <w:rPr>
          <w:rFonts w:hint="eastAsia" w:ascii="Times New Roman" w:hAnsi="Times New Roman" w:eastAsia="仿宋_GB2312" w:cs="仿宋_GB2312"/>
          <w:kern w:val="0"/>
          <w:sz w:val="30"/>
          <w:szCs w:val="30"/>
          <w:highlight w:val="none"/>
        </w:rPr>
        <w:t>的主要原因是：</w:t>
      </w:r>
      <w:r>
        <w:rPr>
          <w:rFonts w:hint="eastAsia" w:ascii="Times New Roman" w:hAnsi="Times New Roman" w:eastAsia="仿宋_GB2312" w:cs="仿宋_GB2312"/>
          <w:sz w:val="30"/>
          <w:szCs w:val="30"/>
          <w:highlight w:val="none"/>
          <w:lang w:eastAsia="zh-CN"/>
        </w:rPr>
        <w:t>本年度未用财政拨款经费列支“三公”经费。</w:t>
      </w:r>
    </w:p>
    <w:p w14:paraId="212E5289">
      <w:pPr>
        <w:autoSpaceDE w:val="0"/>
        <w:autoSpaceDN w:val="0"/>
        <w:adjustRightInd w:val="0"/>
        <w:spacing w:line="600" w:lineRule="exact"/>
        <w:ind w:firstLine="602"/>
        <w:jc w:val="left"/>
        <w:rPr>
          <w:rFonts w:ascii="Times New Roman" w:hAnsi="Times New Roman" w:eastAsia="楷体" w:cs="楷体"/>
          <w:b/>
          <w:bCs/>
          <w:kern w:val="0"/>
          <w:sz w:val="30"/>
          <w:szCs w:val="30"/>
          <w:highlight w:val="none"/>
        </w:rPr>
      </w:pPr>
      <w:r>
        <w:rPr>
          <w:rFonts w:hint="eastAsia" w:ascii="Times New Roman" w:hAnsi="Times New Roman" w:eastAsia="楷体" w:cs="楷体"/>
          <w:b/>
          <w:bCs/>
          <w:kern w:val="0"/>
          <w:sz w:val="30"/>
          <w:szCs w:val="30"/>
          <w:highlight w:val="none"/>
        </w:rPr>
        <w:t>（二）具体情况</w:t>
      </w:r>
    </w:p>
    <w:p w14:paraId="2B30FAAD">
      <w:pPr>
        <w:autoSpaceDE w:val="0"/>
        <w:autoSpaceDN w:val="0"/>
        <w:adjustRightInd w:val="0"/>
        <w:spacing w:line="600" w:lineRule="exact"/>
        <w:ind w:firstLine="600"/>
        <w:jc w:val="left"/>
        <w:rPr>
          <w:rFonts w:ascii="Times New Roman" w:hAnsi="Times New Roman" w:eastAsia="仿宋_GB2312" w:cs="Times New Roman"/>
          <w:kern w:val="0"/>
          <w:sz w:val="30"/>
          <w:szCs w:val="30"/>
          <w:highlight w:val="none"/>
        </w:rPr>
      </w:pPr>
      <w:r>
        <w:rPr>
          <w:rFonts w:ascii="Times New Roman" w:hAnsi="Times New Roman" w:eastAsia="仿宋_GB2312" w:cs="仿宋_GB2312"/>
          <w:kern w:val="0"/>
          <w:sz w:val="30"/>
          <w:szCs w:val="30"/>
          <w:highlight w:val="none"/>
        </w:rPr>
        <w:t>1.</w:t>
      </w:r>
      <w:r>
        <w:rPr>
          <w:rFonts w:hint="eastAsia" w:ascii="Times New Roman" w:hAnsi="Times New Roman" w:eastAsia="仿宋_GB2312" w:cs="仿宋_GB2312"/>
          <w:kern w:val="0"/>
          <w:sz w:val="30"/>
          <w:szCs w:val="30"/>
          <w:highlight w:val="none"/>
        </w:rPr>
        <w:t>因公出国（境）费预算</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元，支出决算</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元，与预算相比</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元，完成预算的</w:t>
      </w:r>
      <w:r>
        <w:rPr>
          <w:rFonts w:hint="eastAsia" w:ascii="Times New Roman" w:hAnsi="Times New Roman" w:eastAsia="仿宋_GB2312" w:cs="仿宋_GB2312"/>
          <w:kern w:val="0"/>
          <w:sz w:val="30"/>
          <w:szCs w:val="30"/>
          <w:highlight w:val="none"/>
          <w:lang w:eastAsia="zh-CN"/>
        </w:rPr>
        <w:t>0.0</w:t>
      </w:r>
      <w:r>
        <w:rPr>
          <w:rFonts w:hint="eastAsia" w:ascii="Times New Roman" w:hAnsi="Times New Roman" w:eastAsia="仿宋_GB2312" w:cs="Times New Roman"/>
          <w:sz w:val="30"/>
          <w:szCs w:val="30"/>
          <w:highlight w:val="none"/>
          <w:lang w:eastAsia="zh-CN"/>
        </w:rPr>
        <w:t>%</w:t>
      </w:r>
      <w:r>
        <w:rPr>
          <w:rFonts w:hint="eastAsia" w:ascii="Times New Roman" w:hAnsi="Times New Roman" w:eastAsia="仿宋_GB2312" w:cs="仿宋_GB2312"/>
          <w:kern w:val="0"/>
          <w:sz w:val="30"/>
          <w:szCs w:val="30"/>
          <w:highlight w:val="none"/>
        </w:rPr>
        <w:t>；较上年</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仿宋_GB2312"/>
          <w:kern w:val="0"/>
          <w:sz w:val="30"/>
          <w:szCs w:val="30"/>
          <w:highlight w:val="none"/>
          <w:lang w:eastAsia="zh-CN"/>
        </w:rPr>
        <w:t>0.00</w:t>
      </w:r>
      <w:r>
        <w:rPr>
          <w:rFonts w:hint="eastAsia" w:ascii="Times New Roman" w:hAnsi="Times New Roman" w:eastAsia="仿宋_GB2312" w:cs="仿宋_GB2312"/>
          <w:kern w:val="0"/>
          <w:sz w:val="30"/>
          <w:szCs w:val="30"/>
          <w:highlight w:val="none"/>
        </w:rPr>
        <w:t>元，</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仿宋_GB2312"/>
          <w:kern w:val="0"/>
          <w:sz w:val="30"/>
          <w:szCs w:val="30"/>
          <w:highlight w:val="none"/>
          <w:lang w:eastAsia="zh-CN"/>
        </w:rPr>
        <w:t>0.0</w:t>
      </w:r>
      <w:r>
        <w:rPr>
          <w:rFonts w:hint="eastAsia" w:ascii="Times New Roman" w:hAnsi="Times New Roman" w:eastAsia="仿宋_GB2312" w:cs="Times New Roman"/>
          <w:sz w:val="30"/>
          <w:szCs w:val="30"/>
          <w:highlight w:val="none"/>
          <w:lang w:eastAsia="zh-CN"/>
        </w:rPr>
        <w:t>%</w:t>
      </w:r>
      <w:r>
        <w:rPr>
          <w:rFonts w:hint="eastAsia" w:ascii="Times New Roman" w:hAnsi="Times New Roman" w:eastAsia="仿宋_GB2312" w:cs="仿宋_GB2312"/>
          <w:kern w:val="0"/>
          <w:sz w:val="30"/>
          <w:szCs w:val="30"/>
          <w:highlight w:val="none"/>
        </w:rPr>
        <w:t>。决算数</w:t>
      </w:r>
      <w:r>
        <w:rPr>
          <w:rFonts w:hint="eastAsia" w:ascii="Times New Roman" w:hAnsi="Times New Roman" w:eastAsia="仿宋_GB2312" w:cs="仿宋_GB2312"/>
          <w:sz w:val="30"/>
          <w:szCs w:val="30"/>
          <w:highlight w:val="none"/>
          <w:lang w:eastAsia="zh-CN"/>
        </w:rPr>
        <w:t>等于</w:t>
      </w:r>
      <w:r>
        <w:rPr>
          <w:rFonts w:hint="eastAsia" w:ascii="Times New Roman" w:hAnsi="Times New Roman" w:eastAsia="仿宋_GB2312" w:cs="仿宋_GB2312"/>
          <w:kern w:val="0"/>
          <w:sz w:val="30"/>
          <w:szCs w:val="30"/>
          <w:highlight w:val="none"/>
        </w:rPr>
        <w:t>预算数的主要原因是：</w:t>
      </w:r>
      <w:r>
        <w:rPr>
          <w:rFonts w:hint="eastAsia" w:ascii="Times New Roman" w:hAnsi="Times New Roman" w:eastAsia="仿宋_GB2312" w:cs="仿宋_GB2312"/>
          <w:sz w:val="30"/>
          <w:szCs w:val="30"/>
          <w:highlight w:val="none"/>
          <w:lang w:eastAsia="zh-CN"/>
        </w:rPr>
        <w:t>本年度未用财政拨款经费列支因公出国（境）费</w:t>
      </w:r>
      <w:r>
        <w:rPr>
          <w:rFonts w:hint="eastAsia" w:ascii="Times New Roman" w:hAnsi="Times New Roman" w:eastAsia="仿宋_GB2312" w:cs="仿宋_GB2312"/>
          <w:kern w:val="0"/>
          <w:sz w:val="30"/>
          <w:szCs w:val="30"/>
          <w:highlight w:val="none"/>
        </w:rPr>
        <w:t>；决算数较上年</w:t>
      </w:r>
      <w:r>
        <w:rPr>
          <w:rFonts w:hint="eastAsia" w:ascii="Times New Roman" w:hAnsi="Times New Roman" w:eastAsia="仿宋_GB2312" w:cs="仿宋_GB2312"/>
          <w:sz w:val="30"/>
          <w:szCs w:val="30"/>
          <w:highlight w:val="none"/>
          <w:lang w:eastAsia="zh-CN"/>
        </w:rPr>
        <w:t>持平</w:t>
      </w:r>
      <w:r>
        <w:rPr>
          <w:rFonts w:hint="eastAsia" w:ascii="Times New Roman" w:hAnsi="Times New Roman" w:eastAsia="仿宋_GB2312" w:cs="仿宋_GB2312"/>
          <w:kern w:val="0"/>
          <w:sz w:val="30"/>
          <w:szCs w:val="30"/>
          <w:highlight w:val="none"/>
        </w:rPr>
        <w:t>的主要原因是：</w:t>
      </w:r>
      <w:r>
        <w:rPr>
          <w:rFonts w:hint="eastAsia" w:ascii="Times New Roman" w:hAnsi="Times New Roman" w:eastAsia="仿宋_GB2312" w:cs="仿宋_GB2312"/>
          <w:sz w:val="30"/>
          <w:szCs w:val="30"/>
          <w:highlight w:val="none"/>
          <w:lang w:eastAsia="zh-CN"/>
        </w:rPr>
        <w:t>本年度未用财政拨款经费列支因公出国（境）费。</w:t>
      </w:r>
      <w:r>
        <w:rPr>
          <w:rFonts w:ascii="Times New Roman" w:hAnsi="Times New Roman" w:eastAsia="仿宋_GB2312" w:cs="仿宋_GB2312"/>
          <w:kern w:val="0"/>
          <w:sz w:val="30"/>
          <w:szCs w:val="30"/>
          <w:highlight w:val="none"/>
        </w:rPr>
        <w:t>202</w:t>
      </w:r>
      <w:r>
        <w:rPr>
          <w:rFonts w:hint="eastAsia" w:ascii="Times New Roman" w:hAnsi="Times New Roman" w:eastAsia="仿宋_GB2312" w:cs="仿宋_GB2312"/>
          <w:kern w:val="0"/>
          <w:sz w:val="30"/>
          <w:szCs w:val="30"/>
          <w:highlight w:val="none"/>
          <w:lang w:val="en-US" w:eastAsia="zh-CN"/>
        </w:rPr>
        <w:t>3</w:t>
      </w:r>
      <w:r>
        <w:rPr>
          <w:rFonts w:hint="eastAsia" w:ascii="Times New Roman" w:hAnsi="Times New Roman" w:eastAsia="仿宋_GB2312" w:cs="仿宋_GB2312"/>
          <w:kern w:val="0"/>
          <w:sz w:val="30"/>
          <w:szCs w:val="30"/>
          <w:highlight w:val="none"/>
        </w:rPr>
        <w:t>年本单位组织的出国团组</w:t>
      </w:r>
      <w:r>
        <w:rPr>
          <w:rFonts w:hint="eastAsia" w:ascii="Times New Roman" w:hAnsi="Times New Roman" w:eastAsia="仿宋_GB2312" w:cs="Times New Roman"/>
          <w:kern w:val="0"/>
          <w:sz w:val="30"/>
          <w:szCs w:val="30"/>
          <w:highlight w:val="none"/>
          <w:lang w:eastAsia="zh-CN"/>
        </w:rPr>
        <w:t>0</w:t>
      </w:r>
      <w:r>
        <w:rPr>
          <w:rFonts w:hint="eastAsia" w:ascii="Times New Roman" w:hAnsi="Times New Roman" w:eastAsia="仿宋_GB2312" w:cs="仿宋_GB2312"/>
          <w:kern w:val="0"/>
          <w:sz w:val="30"/>
          <w:szCs w:val="30"/>
          <w:highlight w:val="none"/>
        </w:rPr>
        <w:t>个，出国</w:t>
      </w:r>
      <w:r>
        <w:rPr>
          <w:rFonts w:hint="eastAsia" w:ascii="Times New Roman" w:hAnsi="Times New Roman" w:eastAsia="仿宋_GB2312" w:cs="Times New Roman"/>
          <w:kern w:val="0"/>
          <w:sz w:val="30"/>
          <w:szCs w:val="30"/>
          <w:highlight w:val="none"/>
          <w:lang w:eastAsia="zh-CN"/>
        </w:rPr>
        <w:t>0</w:t>
      </w:r>
      <w:r>
        <w:rPr>
          <w:rFonts w:hint="eastAsia" w:ascii="Times New Roman" w:hAnsi="Times New Roman" w:eastAsia="仿宋_GB2312" w:cs="仿宋_GB2312"/>
          <w:kern w:val="0"/>
          <w:sz w:val="30"/>
          <w:szCs w:val="30"/>
          <w:highlight w:val="none"/>
        </w:rPr>
        <w:t>人次。</w:t>
      </w:r>
    </w:p>
    <w:p w14:paraId="21833F60">
      <w:pPr>
        <w:autoSpaceDE w:val="0"/>
        <w:autoSpaceDN w:val="0"/>
        <w:adjustRightInd w:val="0"/>
        <w:spacing w:line="600" w:lineRule="exact"/>
        <w:ind w:firstLine="600"/>
        <w:jc w:val="left"/>
        <w:rPr>
          <w:rFonts w:ascii="Times New Roman" w:hAnsi="Times New Roman" w:eastAsia="仿宋_GB2312" w:cs="Times New Roman"/>
          <w:kern w:val="0"/>
          <w:sz w:val="30"/>
          <w:szCs w:val="30"/>
          <w:highlight w:val="none"/>
        </w:rPr>
      </w:pPr>
      <w:r>
        <w:rPr>
          <w:rFonts w:ascii="Times New Roman" w:hAnsi="Times New Roman" w:eastAsia="仿宋_GB2312" w:cs="仿宋_GB2312"/>
          <w:kern w:val="0"/>
          <w:sz w:val="30"/>
          <w:szCs w:val="30"/>
          <w:highlight w:val="none"/>
        </w:rPr>
        <w:t>2.</w:t>
      </w:r>
      <w:r>
        <w:rPr>
          <w:rFonts w:hint="eastAsia" w:ascii="Times New Roman" w:hAnsi="Times New Roman" w:eastAsia="仿宋_GB2312" w:cs="仿宋_GB2312"/>
          <w:kern w:val="0"/>
          <w:sz w:val="30"/>
          <w:szCs w:val="30"/>
          <w:highlight w:val="none"/>
        </w:rPr>
        <w:t>公务用车购置及运行维护费预算</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元，支出决算</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元，与预算相比</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元，完成预算的</w:t>
      </w:r>
      <w:r>
        <w:rPr>
          <w:rFonts w:hint="eastAsia" w:ascii="Times New Roman" w:hAnsi="Times New Roman" w:eastAsia="仿宋_GB2312" w:cs="仿宋_GB2312"/>
          <w:kern w:val="0"/>
          <w:sz w:val="30"/>
          <w:szCs w:val="30"/>
          <w:highlight w:val="none"/>
          <w:lang w:eastAsia="zh-CN"/>
        </w:rPr>
        <w:t>0.0</w:t>
      </w:r>
      <w:r>
        <w:rPr>
          <w:rFonts w:hint="eastAsia" w:ascii="Times New Roman" w:hAnsi="Times New Roman" w:eastAsia="仿宋_GB2312" w:cs="Times New Roman"/>
          <w:sz w:val="30"/>
          <w:szCs w:val="30"/>
          <w:highlight w:val="none"/>
          <w:lang w:eastAsia="zh-CN"/>
        </w:rPr>
        <w:t>%</w:t>
      </w:r>
      <w:r>
        <w:rPr>
          <w:rFonts w:hint="eastAsia" w:ascii="Times New Roman" w:hAnsi="Times New Roman" w:eastAsia="仿宋_GB2312" w:cs="仿宋_GB2312"/>
          <w:kern w:val="0"/>
          <w:sz w:val="30"/>
          <w:szCs w:val="30"/>
          <w:highlight w:val="none"/>
        </w:rPr>
        <w:t>；较上年</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仿宋_GB2312"/>
          <w:kern w:val="0"/>
          <w:sz w:val="30"/>
          <w:szCs w:val="30"/>
          <w:highlight w:val="none"/>
          <w:lang w:eastAsia="zh-CN"/>
        </w:rPr>
        <w:t>0.00</w:t>
      </w:r>
      <w:r>
        <w:rPr>
          <w:rFonts w:hint="eastAsia" w:ascii="Times New Roman" w:hAnsi="Times New Roman" w:eastAsia="仿宋_GB2312" w:cs="仿宋_GB2312"/>
          <w:kern w:val="0"/>
          <w:sz w:val="30"/>
          <w:szCs w:val="30"/>
          <w:highlight w:val="none"/>
        </w:rPr>
        <w:t>元，</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仿宋_GB2312"/>
          <w:kern w:val="0"/>
          <w:sz w:val="30"/>
          <w:szCs w:val="30"/>
          <w:highlight w:val="none"/>
          <w:lang w:eastAsia="zh-CN"/>
        </w:rPr>
        <w:t>0.0</w:t>
      </w:r>
      <w:r>
        <w:rPr>
          <w:rFonts w:hint="eastAsia" w:ascii="Times New Roman" w:hAnsi="Times New Roman" w:eastAsia="仿宋_GB2312" w:cs="Times New Roman"/>
          <w:sz w:val="30"/>
          <w:szCs w:val="30"/>
          <w:highlight w:val="none"/>
          <w:lang w:eastAsia="zh-CN"/>
        </w:rPr>
        <w:t>%</w:t>
      </w:r>
      <w:r>
        <w:rPr>
          <w:rFonts w:hint="eastAsia" w:ascii="Times New Roman" w:hAnsi="Times New Roman" w:eastAsia="仿宋_GB2312" w:cs="仿宋_GB2312"/>
          <w:kern w:val="0"/>
          <w:sz w:val="30"/>
          <w:szCs w:val="30"/>
          <w:highlight w:val="none"/>
        </w:rPr>
        <w:t>。决算数</w:t>
      </w:r>
      <w:r>
        <w:rPr>
          <w:rFonts w:hint="eastAsia" w:ascii="Times New Roman" w:hAnsi="Times New Roman" w:eastAsia="仿宋_GB2312" w:cs="仿宋_GB2312"/>
          <w:sz w:val="30"/>
          <w:szCs w:val="30"/>
          <w:highlight w:val="none"/>
          <w:lang w:eastAsia="zh-CN"/>
        </w:rPr>
        <w:t>等于</w:t>
      </w:r>
      <w:r>
        <w:rPr>
          <w:rFonts w:hint="eastAsia" w:ascii="Times New Roman" w:hAnsi="Times New Roman" w:eastAsia="仿宋_GB2312" w:cs="仿宋_GB2312"/>
          <w:kern w:val="0"/>
          <w:sz w:val="30"/>
          <w:szCs w:val="30"/>
          <w:highlight w:val="none"/>
        </w:rPr>
        <w:t>预算数的主要原因是：</w:t>
      </w:r>
      <w:r>
        <w:rPr>
          <w:rFonts w:hint="eastAsia" w:ascii="Times New Roman" w:hAnsi="Times New Roman" w:eastAsia="仿宋_GB2312" w:cs="仿宋_GB2312"/>
          <w:sz w:val="30"/>
          <w:szCs w:val="30"/>
          <w:highlight w:val="none"/>
          <w:lang w:eastAsia="zh-CN"/>
        </w:rPr>
        <w:t>本年度未用财政拨款经费列支公务用车购置及运行维护费</w:t>
      </w:r>
      <w:r>
        <w:rPr>
          <w:rFonts w:hint="eastAsia" w:ascii="Times New Roman" w:hAnsi="Times New Roman" w:eastAsia="仿宋_GB2312" w:cs="仿宋_GB2312"/>
          <w:kern w:val="0"/>
          <w:sz w:val="30"/>
          <w:szCs w:val="30"/>
          <w:highlight w:val="none"/>
          <w:lang w:eastAsia="zh-CN"/>
        </w:rPr>
        <w:t>；</w:t>
      </w:r>
      <w:r>
        <w:rPr>
          <w:rFonts w:hint="eastAsia" w:ascii="Times New Roman" w:hAnsi="Times New Roman" w:eastAsia="仿宋_GB2312" w:cs="仿宋_GB2312"/>
          <w:kern w:val="0"/>
          <w:sz w:val="30"/>
          <w:szCs w:val="30"/>
          <w:highlight w:val="none"/>
        </w:rPr>
        <w:t>决算数较上年</w:t>
      </w:r>
      <w:r>
        <w:rPr>
          <w:rFonts w:hint="eastAsia" w:ascii="Times New Roman" w:hAnsi="Times New Roman" w:eastAsia="仿宋_GB2312" w:cs="仿宋_GB2312"/>
          <w:sz w:val="30"/>
          <w:szCs w:val="30"/>
          <w:highlight w:val="none"/>
          <w:lang w:eastAsia="zh-CN"/>
        </w:rPr>
        <w:t>持平</w:t>
      </w:r>
      <w:r>
        <w:rPr>
          <w:rFonts w:hint="eastAsia" w:ascii="Times New Roman" w:hAnsi="Times New Roman" w:eastAsia="仿宋_GB2312" w:cs="仿宋_GB2312"/>
          <w:kern w:val="0"/>
          <w:sz w:val="30"/>
          <w:szCs w:val="30"/>
          <w:highlight w:val="none"/>
        </w:rPr>
        <w:t>的主要原因是：</w:t>
      </w:r>
      <w:r>
        <w:rPr>
          <w:rFonts w:hint="eastAsia" w:ascii="Times New Roman" w:hAnsi="Times New Roman" w:eastAsia="仿宋_GB2312" w:cs="仿宋_GB2312"/>
          <w:sz w:val="30"/>
          <w:szCs w:val="30"/>
          <w:highlight w:val="none"/>
          <w:lang w:eastAsia="zh-CN"/>
        </w:rPr>
        <w:t>本年度未用财政拨款经费列支公务用车购置及运行维护费。</w:t>
      </w:r>
      <w:r>
        <w:rPr>
          <w:rFonts w:hint="eastAsia" w:ascii="Times New Roman" w:hAnsi="Times New Roman" w:eastAsia="仿宋_GB2312" w:cs="仿宋_GB2312"/>
          <w:kern w:val="0"/>
          <w:sz w:val="30"/>
          <w:szCs w:val="30"/>
          <w:highlight w:val="none"/>
        </w:rPr>
        <w:t>其中：</w:t>
      </w:r>
    </w:p>
    <w:p w14:paraId="46EEE8E5">
      <w:pPr>
        <w:autoSpaceDE w:val="0"/>
        <w:autoSpaceDN w:val="0"/>
        <w:adjustRightInd w:val="0"/>
        <w:spacing w:line="600" w:lineRule="exact"/>
        <w:ind w:firstLine="60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kern w:val="0"/>
          <w:sz w:val="30"/>
          <w:szCs w:val="30"/>
          <w:highlight w:val="none"/>
        </w:rPr>
        <w:t>公务用车运行维护费预算</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元，支出决算</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元，与预算相比</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元，完成预算的</w:t>
      </w:r>
      <w:r>
        <w:rPr>
          <w:rFonts w:hint="eastAsia" w:ascii="Times New Roman" w:hAnsi="Times New Roman" w:eastAsia="仿宋_GB2312" w:cs="仿宋_GB2312"/>
          <w:kern w:val="0"/>
          <w:sz w:val="30"/>
          <w:szCs w:val="30"/>
          <w:highlight w:val="none"/>
          <w:lang w:eastAsia="zh-CN"/>
        </w:rPr>
        <w:t>0.0</w:t>
      </w:r>
      <w:r>
        <w:rPr>
          <w:rFonts w:hint="eastAsia" w:ascii="Times New Roman" w:hAnsi="Times New Roman" w:eastAsia="仿宋_GB2312" w:cs="Times New Roman"/>
          <w:sz w:val="30"/>
          <w:szCs w:val="30"/>
          <w:highlight w:val="none"/>
          <w:lang w:eastAsia="zh-CN"/>
        </w:rPr>
        <w:t>%</w:t>
      </w:r>
      <w:r>
        <w:rPr>
          <w:rFonts w:hint="eastAsia" w:ascii="Times New Roman" w:hAnsi="Times New Roman" w:eastAsia="仿宋_GB2312" w:cs="仿宋_GB2312"/>
          <w:kern w:val="0"/>
          <w:sz w:val="30"/>
          <w:szCs w:val="30"/>
          <w:highlight w:val="none"/>
        </w:rPr>
        <w:t>；较上年</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仿宋_GB2312"/>
          <w:kern w:val="0"/>
          <w:sz w:val="30"/>
          <w:szCs w:val="30"/>
          <w:highlight w:val="none"/>
          <w:lang w:eastAsia="zh-CN"/>
        </w:rPr>
        <w:t>0.00</w:t>
      </w:r>
      <w:r>
        <w:rPr>
          <w:rFonts w:hint="eastAsia" w:ascii="Times New Roman" w:hAnsi="Times New Roman" w:eastAsia="仿宋_GB2312" w:cs="仿宋_GB2312"/>
          <w:kern w:val="0"/>
          <w:sz w:val="30"/>
          <w:szCs w:val="30"/>
          <w:highlight w:val="none"/>
        </w:rPr>
        <w:t>元，</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仿宋_GB2312"/>
          <w:kern w:val="0"/>
          <w:sz w:val="30"/>
          <w:szCs w:val="30"/>
          <w:highlight w:val="none"/>
          <w:lang w:eastAsia="zh-CN"/>
        </w:rPr>
        <w:t>0.0</w:t>
      </w:r>
      <w:r>
        <w:rPr>
          <w:rFonts w:hint="eastAsia" w:ascii="Times New Roman" w:hAnsi="Times New Roman" w:eastAsia="仿宋_GB2312" w:cs="Times New Roman"/>
          <w:sz w:val="30"/>
          <w:szCs w:val="30"/>
          <w:highlight w:val="none"/>
          <w:lang w:eastAsia="zh-CN"/>
        </w:rPr>
        <w:t>%</w:t>
      </w:r>
      <w:r>
        <w:rPr>
          <w:rFonts w:hint="eastAsia" w:ascii="Times New Roman" w:hAnsi="Times New Roman" w:eastAsia="仿宋_GB2312" w:cs="仿宋_GB2312"/>
          <w:kern w:val="0"/>
          <w:sz w:val="30"/>
          <w:szCs w:val="30"/>
          <w:highlight w:val="none"/>
        </w:rPr>
        <w:t>。决算数</w:t>
      </w:r>
      <w:r>
        <w:rPr>
          <w:rFonts w:hint="eastAsia" w:ascii="Times New Roman" w:hAnsi="Times New Roman" w:eastAsia="仿宋_GB2312" w:cs="仿宋_GB2312"/>
          <w:sz w:val="30"/>
          <w:szCs w:val="30"/>
          <w:highlight w:val="none"/>
          <w:lang w:eastAsia="zh-CN"/>
        </w:rPr>
        <w:t>等于</w:t>
      </w:r>
      <w:r>
        <w:rPr>
          <w:rFonts w:hint="eastAsia" w:ascii="Times New Roman" w:hAnsi="Times New Roman" w:eastAsia="仿宋_GB2312" w:cs="仿宋_GB2312"/>
          <w:kern w:val="0"/>
          <w:sz w:val="30"/>
          <w:szCs w:val="30"/>
          <w:highlight w:val="none"/>
        </w:rPr>
        <w:t>预算数的主要原因是：</w:t>
      </w:r>
      <w:r>
        <w:rPr>
          <w:rFonts w:hint="eastAsia" w:ascii="Times New Roman" w:hAnsi="Times New Roman" w:eastAsia="仿宋_GB2312" w:cs="仿宋_GB2312"/>
          <w:sz w:val="30"/>
          <w:szCs w:val="30"/>
          <w:highlight w:val="none"/>
          <w:lang w:eastAsia="zh-CN"/>
        </w:rPr>
        <w:t>年度未用财政拨款经费列支公务用车运行维护费</w:t>
      </w:r>
      <w:r>
        <w:rPr>
          <w:rFonts w:hint="eastAsia" w:ascii="Times New Roman" w:hAnsi="Times New Roman" w:eastAsia="仿宋_GB2312" w:cs="仿宋_GB2312"/>
          <w:kern w:val="0"/>
          <w:sz w:val="30"/>
          <w:szCs w:val="30"/>
          <w:highlight w:val="none"/>
        </w:rPr>
        <w:t>；决算数较上年</w:t>
      </w:r>
      <w:r>
        <w:rPr>
          <w:rFonts w:hint="eastAsia" w:ascii="Times New Roman" w:hAnsi="Times New Roman" w:eastAsia="仿宋_GB2312" w:cs="仿宋_GB2312"/>
          <w:sz w:val="30"/>
          <w:szCs w:val="30"/>
          <w:highlight w:val="none"/>
          <w:lang w:eastAsia="zh-CN"/>
        </w:rPr>
        <w:t>持平</w:t>
      </w:r>
      <w:r>
        <w:rPr>
          <w:rFonts w:hint="eastAsia" w:ascii="Times New Roman" w:hAnsi="Times New Roman" w:eastAsia="仿宋_GB2312" w:cs="仿宋_GB2312"/>
          <w:kern w:val="0"/>
          <w:sz w:val="30"/>
          <w:szCs w:val="30"/>
          <w:highlight w:val="none"/>
        </w:rPr>
        <w:t>的主要原因是：</w:t>
      </w:r>
      <w:r>
        <w:rPr>
          <w:rFonts w:hint="eastAsia" w:ascii="Times New Roman" w:hAnsi="Times New Roman" w:eastAsia="仿宋_GB2312" w:cs="仿宋_GB2312"/>
          <w:sz w:val="30"/>
          <w:szCs w:val="30"/>
          <w:highlight w:val="none"/>
          <w:lang w:eastAsia="zh-CN"/>
        </w:rPr>
        <w:t>年度未用财政拨款经费列支公务用车运行维护费。</w:t>
      </w:r>
      <w:r>
        <w:rPr>
          <w:rFonts w:hint="eastAsia" w:ascii="Times New Roman" w:hAnsi="Times New Roman" w:eastAsia="仿宋_GB2312" w:cs="仿宋_GB2312"/>
          <w:kern w:val="0"/>
          <w:sz w:val="30"/>
          <w:szCs w:val="30"/>
          <w:highlight w:val="none"/>
        </w:rPr>
        <w:t>截至</w:t>
      </w:r>
      <w:r>
        <w:rPr>
          <w:rFonts w:ascii="Times New Roman" w:hAnsi="Times New Roman" w:eastAsia="仿宋_GB2312" w:cs="仿宋_GB2312"/>
          <w:kern w:val="0"/>
          <w:sz w:val="30"/>
          <w:szCs w:val="30"/>
          <w:highlight w:val="none"/>
        </w:rPr>
        <w:t>202</w:t>
      </w:r>
      <w:r>
        <w:rPr>
          <w:rFonts w:hint="eastAsia" w:ascii="Times New Roman" w:hAnsi="Times New Roman" w:eastAsia="仿宋_GB2312" w:cs="仿宋_GB2312"/>
          <w:kern w:val="0"/>
          <w:sz w:val="30"/>
          <w:szCs w:val="30"/>
          <w:highlight w:val="none"/>
          <w:lang w:val="en-US" w:eastAsia="zh-CN"/>
        </w:rPr>
        <w:t>3</w:t>
      </w:r>
      <w:r>
        <w:rPr>
          <w:rFonts w:hint="eastAsia" w:ascii="Times New Roman" w:hAnsi="Times New Roman" w:eastAsia="仿宋_GB2312" w:cs="仿宋_GB2312"/>
          <w:kern w:val="0"/>
          <w:sz w:val="30"/>
          <w:szCs w:val="30"/>
          <w:highlight w:val="none"/>
        </w:rPr>
        <w:t>年</w:t>
      </w:r>
      <w:r>
        <w:rPr>
          <w:rFonts w:ascii="Times New Roman" w:hAnsi="Times New Roman" w:eastAsia="仿宋_GB2312" w:cs="仿宋_GB2312"/>
          <w:kern w:val="0"/>
          <w:sz w:val="30"/>
          <w:szCs w:val="30"/>
          <w:highlight w:val="none"/>
        </w:rPr>
        <w:t>12</w:t>
      </w:r>
      <w:r>
        <w:rPr>
          <w:rFonts w:hint="eastAsia" w:ascii="Times New Roman" w:hAnsi="Times New Roman" w:eastAsia="仿宋_GB2312" w:cs="仿宋_GB2312"/>
          <w:kern w:val="0"/>
          <w:sz w:val="30"/>
          <w:szCs w:val="30"/>
          <w:highlight w:val="none"/>
        </w:rPr>
        <w:t>月</w:t>
      </w:r>
      <w:r>
        <w:rPr>
          <w:rFonts w:ascii="Times New Roman" w:hAnsi="Times New Roman" w:eastAsia="仿宋_GB2312" w:cs="仿宋_GB2312"/>
          <w:kern w:val="0"/>
          <w:sz w:val="30"/>
          <w:szCs w:val="30"/>
          <w:highlight w:val="none"/>
        </w:rPr>
        <w:t>31</w:t>
      </w:r>
      <w:r>
        <w:rPr>
          <w:rFonts w:hint="eastAsia" w:ascii="Times New Roman" w:hAnsi="Times New Roman" w:eastAsia="仿宋_GB2312" w:cs="仿宋_GB2312"/>
          <w:kern w:val="0"/>
          <w:sz w:val="30"/>
          <w:szCs w:val="30"/>
          <w:highlight w:val="none"/>
        </w:rPr>
        <w:t>日，使用财政拨款开支运行维护费的公务用车保有量为</w:t>
      </w:r>
      <w:r>
        <w:rPr>
          <w:rFonts w:hint="eastAsia" w:ascii="Times New Roman" w:hAnsi="Times New Roman" w:eastAsia="仿宋_GB2312" w:cs="Times New Roman"/>
          <w:kern w:val="0"/>
          <w:sz w:val="30"/>
          <w:szCs w:val="30"/>
          <w:highlight w:val="none"/>
          <w:lang w:eastAsia="zh-CN"/>
        </w:rPr>
        <w:t>0</w:t>
      </w:r>
      <w:r>
        <w:rPr>
          <w:rFonts w:hint="eastAsia" w:ascii="Times New Roman" w:hAnsi="Times New Roman" w:eastAsia="仿宋_GB2312" w:cs="仿宋_GB2312"/>
          <w:kern w:val="0"/>
          <w:sz w:val="30"/>
          <w:szCs w:val="30"/>
          <w:highlight w:val="none"/>
        </w:rPr>
        <w:t>辆。</w:t>
      </w:r>
    </w:p>
    <w:p w14:paraId="0E1C72C1">
      <w:pPr>
        <w:autoSpaceDE w:val="0"/>
        <w:autoSpaceDN w:val="0"/>
        <w:adjustRightInd w:val="0"/>
        <w:spacing w:line="600" w:lineRule="exact"/>
        <w:ind w:firstLine="600"/>
        <w:jc w:val="left"/>
        <w:rPr>
          <w:rFonts w:ascii="Times New Roman" w:hAnsi="Times New Roman" w:eastAsia="仿宋_GB2312" w:cs="仿宋_GB2312"/>
          <w:kern w:val="0"/>
          <w:sz w:val="30"/>
          <w:szCs w:val="30"/>
          <w:highlight w:val="none"/>
        </w:rPr>
      </w:pPr>
      <w:r>
        <w:rPr>
          <w:rFonts w:hint="eastAsia" w:ascii="Times New Roman" w:hAnsi="Times New Roman" w:eastAsia="仿宋_GB2312" w:cs="仿宋_GB2312"/>
          <w:kern w:val="0"/>
          <w:sz w:val="30"/>
          <w:szCs w:val="30"/>
          <w:highlight w:val="none"/>
        </w:rPr>
        <w:t>公务用车购置费预算</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元，支出决算</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元，与预算相比</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元，完成预算的</w:t>
      </w:r>
      <w:r>
        <w:rPr>
          <w:rFonts w:hint="eastAsia" w:ascii="Times New Roman" w:hAnsi="Times New Roman" w:eastAsia="仿宋_GB2312" w:cs="仿宋_GB2312"/>
          <w:kern w:val="0"/>
          <w:sz w:val="30"/>
          <w:szCs w:val="30"/>
          <w:highlight w:val="none"/>
          <w:lang w:eastAsia="zh-CN"/>
        </w:rPr>
        <w:t>0.0</w:t>
      </w:r>
      <w:r>
        <w:rPr>
          <w:rFonts w:hint="eastAsia" w:ascii="Times New Roman" w:hAnsi="Times New Roman" w:eastAsia="仿宋_GB2312" w:cs="Times New Roman"/>
          <w:sz w:val="30"/>
          <w:szCs w:val="30"/>
          <w:highlight w:val="none"/>
          <w:lang w:eastAsia="zh-CN"/>
        </w:rPr>
        <w:t>%</w:t>
      </w:r>
      <w:r>
        <w:rPr>
          <w:rFonts w:hint="eastAsia" w:ascii="Times New Roman" w:hAnsi="Times New Roman" w:eastAsia="仿宋_GB2312" w:cs="仿宋_GB2312"/>
          <w:kern w:val="0"/>
          <w:sz w:val="30"/>
          <w:szCs w:val="30"/>
          <w:highlight w:val="none"/>
        </w:rPr>
        <w:t>；较上年</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仿宋_GB2312"/>
          <w:kern w:val="0"/>
          <w:sz w:val="30"/>
          <w:szCs w:val="30"/>
          <w:highlight w:val="none"/>
          <w:lang w:eastAsia="zh-CN"/>
        </w:rPr>
        <w:t>0.00</w:t>
      </w:r>
      <w:r>
        <w:rPr>
          <w:rFonts w:hint="eastAsia" w:ascii="Times New Roman" w:hAnsi="Times New Roman" w:eastAsia="仿宋_GB2312" w:cs="仿宋_GB2312"/>
          <w:kern w:val="0"/>
          <w:sz w:val="30"/>
          <w:szCs w:val="30"/>
          <w:highlight w:val="none"/>
        </w:rPr>
        <w:t>元，</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仿宋_GB2312"/>
          <w:kern w:val="0"/>
          <w:sz w:val="30"/>
          <w:szCs w:val="30"/>
          <w:highlight w:val="none"/>
          <w:lang w:eastAsia="zh-CN"/>
        </w:rPr>
        <w:t>0.0</w:t>
      </w:r>
      <w:r>
        <w:rPr>
          <w:rFonts w:hint="eastAsia" w:ascii="Times New Roman" w:hAnsi="Times New Roman" w:eastAsia="仿宋_GB2312" w:cs="Times New Roman"/>
          <w:sz w:val="30"/>
          <w:szCs w:val="30"/>
          <w:highlight w:val="none"/>
          <w:lang w:eastAsia="zh-CN"/>
        </w:rPr>
        <w:t>%</w:t>
      </w:r>
      <w:r>
        <w:rPr>
          <w:rFonts w:hint="eastAsia" w:ascii="Times New Roman" w:hAnsi="Times New Roman" w:eastAsia="仿宋_GB2312" w:cs="仿宋_GB2312"/>
          <w:kern w:val="0"/>
          <w:sz w:val="30"/>
          <w:szCs w:val="30"/>
          <w:highlight w:val="none"/>
        </w:rPr>
        <w:t>。决算数</w:t>
      </w:r>
      <w:r>
        <w:rPr>
          <w:rFonts w:hint="eastAsia" w:ascii="Times New Roman" w:hAnsi="Times New Roman" w:eastAsia="仿宋_GB2312" w:cs="仿宋_GB2312"/>
          <w:sz w:val="30"/>
          <w:szCs w:val="30"/>
          <w:highlight w:val="none"/>
          <w:lang w:eastAsia="zh-CN"/>
        </w:rPr>
        <w:t>等于</w:t>
      </w:r>
      <w:r>
        <w:rPr>
          <w:rFonts w:hint="eastAsia" w:ascii="Times New Roman" w:hAnsi="Times New Roman" w:eastAsia="仿宋_GB2312" w:cs="仿宋_GB2312"/>
          <w:kern w:val="0"/>
          <w:sz w:val="30"/>
          <w:szCs w:val="30"/>
          <w:highlight w:val="none"/>
        </w:rPr>
        <w:t>预算数的主要原因是：</w:t>
      </w:r>
      <w:r>
        <w:rPr>
          <w:rFonts w:hint="eastAsia" w:ascii="Times New Roman" w:hAnsi="Times New Roman" w:eastAsia="仿宋_GB2312" w:cs="仿宋_GB2312"/>
          <w:sz w:val="30"/>
          <w:szCs w:val="30"/>
          <w:highlight w:val="none"/>
          <w:lang w:eastAsia="zh-CN"/>
        </w:rPr>
        <w:t>本年度未用财政拨款经费列支公务用车购置费</w:t>
      </w:r>
      <w:r>
        <w:rPr>
          <w:rFonts w:hint="eastAsia" w:ascii="Times New Roman" w:hAnsi="Times New Roman" w:eastAsia="仿宋_GB2312" w:cs="仿宋_GB2312"/>
          <w:kern w:val="0"/>
          <w:sz w:val="30"/>
          <w:szCs w:val="30"/>
          <w:highlight w:val="none"/>
        </w:rPr>
        <w:t>；决算数较上年</w:t>
      </w:r>
      <w:r>
        <w:rPr>
          <w:rFonts w:hint="eastAsia" w:ascii="Times New Roman" w:hAnsi="Times New Roman" w:eastAsia="仿宋_GB2312" w:cs="仿宋_GB2312"/>
          <w:sz w:val="30"/>
          <w:szCs w:val="30"/>
          <w:highlight w:val="none"/>
          <w:lang w:eastAsia="zh-CN"/>
        </w:rPr>
        <w:t>持平</w:t>
      </w:r>
      <w:r>
        <w:rPr>
          <w:rFonts w:hint="eastAsia" w:ascii="Times New Roman" w:hAnsi="Times New Roman" w:eastAsia="仿宋_GB2312" w:cs="仿宋_GB2312"/>
          <w:kern w:val="0"/>
          <w:sz w:val="30"/>
          <w:szCs w:val="30"/>
          <w:highlight w:val="none"/>
        </w:rPr>
        <w:t>的主要原因是：</w:t>
      </w:r>
      <w:r>
        <w:rPr>
          <w:rFonts w:hint="eastAsia" w:ascii="Times New Roman" w:hAnsi="Times New Roman" w:eastAsia="仿宋_GB2312" w:cs="仿宋_GB2312"/>
          <w:sz w:val="30"/>
          <w:szCs w:val="30"/>
          <w:highlight w:val="none"/>
          <w:lang w:eastAsia="zh-CN"/>
        </w:rPr>
        <w:t>本年度未用财政拨款经费列支公务用车购置费。</w:t>
      </w:r>
      <w:r>
        <w:rPr>
          <w:rFonts w:ascii="Times New Roman" w:hAnsi="Times New Roman" w:eastAsia="仿宋_GB2312" w:cs="仿宋_GB2312"/>
          <w:kern w:val="0"/>
          <w:sz w:val="30"/>
          <w:szCs w:val="30"/>
          <w:highlight w:val="none"/>
        </w:rPr>
        <w:t>202</w:t>
      </w:r>
      <w:r>
        <w:rPr>
          <w:rFonts w:hint="eastAsia" w:ascii="Times New Roman" w:hAnsi="Times New Roman" w:eastAsia="仿宋_GB2312" w:cs="仿宋_GB2312"/>
          <w:kern w:val="0"/>
          <w:sz w:val="30"/>
          <w:szCs w:val="30"/>
          <w:highlight w:val="none"/>
          <w:lang w:val="en-US" w:eastAsia="zh-CN"/>
        </w:rPr>
        <w:t>3</w:t>
      </w:r>
      <w:r>
        <w:rPr>
          <w:rFonts w:hint="eastAsia" w:ascii="Times New Roman" w:hAnsi="Times New Roman" w:eastAsia="仿宋_GB2312" w:cs="仿宋_GB2312"/>
          <w:kern w:val="0"/>
          <w:sz w:val="30"/>
          <w:szCs w:val="30"/>
          <w:highlight w:val="none"/>
        </w:rPr>
        <w:t>年购置公务用车</w:t>
      </w:r>
      <w:r>
        <w:rPr>
          <w:rFonts w:hint="eastAsia" w:ascii="Times New Roman" w:hAnsi="Times New Roman" w:eastAsia="仿宋_GB2312" w:cs="Times New Roman"/>
          <w:kern w:val="0"/>
          <w:sz w:val="30"/>
          <w:szCs w:val="30"/>
          <w:highlight w:val="none"/>
          <w:lang w:eastAsia="zh-CN"/>
        </w:rPr>
        <w:t>0</w:t>
      </w:r>
      <w:r>
        <w:rPr>
          <w:rFonts w:hint="eastAsia" w:ascii="Times New Roman" w:hAnsi="Times New Roman" w:eastAsia="仿宋_GB2312" w:cs="仿宋_GB2312"/>
          <w:kern w:val="0"/>
          <w:sz w:val="30"/>
          <w:szCs w:val="30"/>
          <w:highlight w:val="none"/>
        </w:rPr>
        <w:t>辆。</w:t>
      </w:r>
    </w:p>
    <w:p w14:paraId="4A3EE13D">
      <w:pPr>
        <w:autoSpaceDE w:val="0"/>
        <w:autoSpaceDN w:val="0"/>
        <w:adjustRightInd w:val="0"/>
        <w:spacing w:line="600" w:lineRule="exact"/>
        <w:ind w:firstLine="645"/>
        <w:jc w:val="left"/>
        <w:rPr>
          <w:rFonts w:ascii="Times New Roman" w:hAnsi="Times New Roman" w:eastAsia="仿宋_GB2312" w:cs="仿宋_GB2312"/>
          <w:kern w:val="0"/>
          <w:sz w:val="30"/>
          <w:szCs w:val="30"/>
          <w:highlight w:val="none"/>
        </w:rPr>
      </w:pPr>
      <w:r>
        <w:rPr>
          <w:rFonts w:ascii="Times New Roman" w:hAnsi="Times New Roman" w:eastAsia="仿宋_GB2312" w:cs="仿宋_GB2312"/>
          <w:kern w:val="0"/>
          <w:sz w:val="30"/>
          <w:szCs w:val="30"/>
          <w:highlight w:val="none"/>
        </w:rPr>
        <w:t>3.</w:t>
      </w:r>
      <w:r>
        <w:rPr>
          <w:rFonts w:hint="eastAsia" w:ascii="Times New Roman" w:hAnsi="Times New Roman" w:eastAsia="仿宋_GB2312" w:cs="仿宋_GB2312"/>
          <w:kern w:val="0"/>
          <w:sz w:val="30"/>
          <w:szCs w:val="30"/>
          <w:highlight w:val="none"/>
        </w:rPr>
        <w:t>公务接待费预算</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元，支出决算</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元，与预算相比</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kern w:val="0"/>
          <w:sz w:val="30"/>
          <w:szCs w:val="30"/>
          <w:highlight w:val="none"/>
        </w:rPr>
        <w:t>元，完成预算的</w:t>
      </w:r>
      <w:r>
        <w:rPr>
          <w:rFonts w:hint="eastAsia" w:ascii="Times New Roman" w:hAnsi="Times New Roman" w:eastAsia="仿宋_GB2312" w:cs="仿宋_GB2312"/>
          <w:kern w:val="0"/>
          <w:sz w:val="30"/>
          <w:szCs w:val="30"/>
          <w:highlight w:val="none"/>
          <w:lang w:eastAsia="zh-CN"/>
        </w:rPr>
        <w:t>0.0</w:t>
      </w:r>
      <w:r>
        <w:rPr>
          <w:rFonts w:hint="eastAsia" w:ascii="Times New Roman" w:hAnsi="Times New Roman" w:eastAsia="仿宋_GB2312" w:cs="Times New Roman"/>
          <w:sz w:val="30"/>
          <w:szCs w:val="30"/>
          <w:highlight w:val="none"/>
          <w:lang w:eastAsia="zh-CN"/>
        </w:rPr>
        <w:t>%</w:t>
      </w:r>
      <w:r>
        <w:rPr>
          <w:rFonts w:hint="eastAsia" w:ascii="Times New Roman" w:hAnsi="Times New Roman" w:eastAsia="仿宋_GB2312" w:cs="仿宋_GB2312"/>
          <w:kern w:val="0"/>
          <w:sz w:val="30"/>
          <w:szCs w:val="30"/>
          <w:highlight w:val="none"/>
        </w:rPr>
        <w:t>；较上年</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仿宋_GB2312"/>
          <w:kern w:val="0"/>
          <w:sz w:val="30"/>
          <w:szCs w:val="30"/>
          <w:highlight w:val="none"/>
          <w:lang w:eastAsia="zh-CN"/>
        </w:rPr>
        <w:t>0.00</w:t>
      </w:r>
      <w:r>
        <w:rPr>
          <w:rFonts w:hint="eastAsia" w:ascii="Times New Roman" w:hAnsi="Times New Roman" w:eastAsia="仿宋_GB2312" w:cs="仿宋_GB2312"/>
          <w:kern w:val="0"/>
          <w:sz w:val="30"/>
          <w:szCs w:val="30"/>
          <w:highlight w:val="none"/>
        </w:rPr>
        <w:t>元，</w:t>
      </w:r>
      <w:r>
        <w:rPr>
          <w:rFonts w:hint="eastAsia" w:ascii="Times New Roman" w:hAnsi="Times New Roman" w:eastAsia="仿宋_GB2312" w:cs="仿宋_GB2312"/>
          <w:sz w:val="30"/>
          <w:szCs w:val="30"/>
          <w:highlight w:val="none"/>
          <w:lang w:val="en-US" w:eastAsia="zh-CN"/>
        </w:rPr>
        <w:t>持平</w:t>
      </w:r>
      <w:r>
        <w:rPr>
          <w:rFonts w:hint="eastAsia" w:ascii="Times New Roman" w:hAnsi="Times New Roman" w:eastAsia="仿宋_GB2312" w:cs="仿宋_GB2312"/>
          <w:kern w:val="0"/>
          <w:sz w:val="30"/>
          <w:szCs w:val="30"/>
          <w:highlight w:val="none"/>
          <w:lang w:eastAsia="zh-CN"/>
        </w:rPr>
        <w:t>0.0</w:t>
      </w:r>
      <w:r>
        <w:rPr>
          <w:rFonts w:hint="eastAsia" w:ascii="Times New Roman" w:hAnsi="Times New Roman" w:eastAsia="仿宋_GB2312" w:cs="Times New Roman"/>
          <w:sz w:val="30"/>
          <w:szCs w:val="30"/>
          <w:highlight w:val="none"/>
          <w:lang w:eastAsia="zh-CN"/>
        </w:rPr>
        <w:t>%</w:t>
      </w:r>
      <w:r>
        <w:rPr>
          <w:rFonts w:hint="eastAsia" w:ascii="Times New Roman" w:hAnsi="Times New Roman" w:eastAsia="仿宋_GB2312" w:cs="仿宋_GB2312"/>
          <w:kern w:val="0"/>
          <w:sz w:val="30"/>
          <w:szCs w:val="30"/>
          <w:highlight w:val="none"/>
        </w:rPr>
        <w:t>。决算数</w:t>
      </w:r>
      <w:r>
        <w:rPr>
          <w:rFonts w:hint="eastAsia" w:ascii="Times New Roman" w:hAnsi="Times New Roman" w:eastAsia="仿宋_GB2312" w:cs="仿宋_GB2312"/>
          <w:sz w:val="30"/>
          <w:szCs w:val="30"/>
          <w:highlight w:val="none"/>
          <w:lang w:eastAsia="zh-CN"/>
        </w:rPr>
        <w:t>等于</w:t>
      </w:r>
      <w:r>
        <w:rPr>
          <w:rFonts w:hint="eastAsia" w:ascii="Times New Roman" w:hAnsi="Times New Roman" w:eastAsia="仿宋_GB2312" w:cs="仿宋_GB2312"/>
          <w:kern w:val="0"/>
          <w:sz w:val="30"/>
          <w:szCs w:val="30"/>
          <w:highlight w:val="none"/>
        </w:rPr>
        <w:t>预算数的主要原因是：</w:t>
      </w:r>
      <w:r>
        <w:rPr>
          <w:rFonts w:hint="eastAsia" w:ascii="Times New Roman" w:hAnsi="Times New Roman" w:eastAsia="仿宋_GB2312" w:cs="仿宋_GB2312"/>
          <w:sz w:val="30"/>
          <w:szCs w:val="30"/>
          <w:highlight w:val="none"/>
          <w:lang w:eastAsia="zh-CN"/>
        </w:rPr>
        <w:t>本年度未用财政拨款经费列支公务接待费</w:t>
      </w:r>
      <w:r>
        <w:rPr>
          <w:rFonts w:hint="eastAsia" w:ascii="Times New Roman" w:hAnsi="Times New Roman" w:eastAsia="仿宋_GB2312" w:cs="仿宋_GB2312"/>
          <w:kern w:val="0"/>
          <w:sz w:val="30"/>
          <w:szCs w:val="30"/>
          <w:highlight w:val="none"/>
        </w:rPr>
        <w:t>；决算数较上年</w:t>
      </w:r>
      <w:r>
        <w:rPr>
          <w:rFonts w:hint="eastAsia" w:ascii="Times New Roman" w:hAnsi="Times New Roman" w:eastAsia="仿宋_GB2312" w:cs="仿宋_GB2312"/>
          <w:sz w:val="30"/>
          <w:szCs w:val="30"/>
          <w:highlight w:val="none"/>
          <w:lang w:eastAsia="zh-CN"/>
        </w:rPr>
        <w:t>持平</w:t>
      </w:r>
      <w:r>
        <w:rPr>
          <w:rFonts w:hint="eastAsia" w:ascii="Times New Roman" w:hAnsi="Times New Roman" w:eastAsia="仿宋_GB2312" w:cs="仿宋_GB2312"/>
          <w:kern w:val="0"/>
          <w:sz w:val="30"/>
          <w:szCs w:val="30"/>
          <w:highlight w:val="none"/>
        </w:rPr>
        <w:t>的主要原因是：</w:t>
      </w:r>
      <w:r>
        <w:rPr>
          <w:rFonts w:hint="eastAsia" w:ascii="Times New Roman" w:hAnsi="Times New Roman" w:eastAsia="仿宋_GB2312" w:cs="仿宋_GB2312"/>
          <w:sz w:val="30"/>
          <w:szCs w:val="30"/>
          <w:highlight w:val="none"/>
          <w:lang w:eastAsia="zh-CN"/>
        </w:rPr>
        <w:t>本年度未用财政拨款经费列支公务接待费。</w:t>
      </w:r>
      <w:r>
        <w:rPr>
          <w:rFonts w:ascii="Times New Roman" w:hAnsi="Times New Roman" w:eastAsia="仿宋_GB2312" w:cs="仿宋_GB2312"/>
          <w:kern w:val="0"/>
          <w:sz w:val="30"/>
          <w:szCs w:val="30"/>
          <w:highlight w:val="none"/>
        </w:rPr>
        <w:t>202</w:t>
      </w:r>
      <w:r>
        <w:rPr>
          <w:rFonts w:hint="eastAsia" w:ascii="Times New Roman" w:hAnsi="Times New Roman" w:eastAsia="仿宋_GB2312" w:cs="仿宋_GB2312"/>
          <w:kern w:val="0"/>
          <w:sz w:val="30"/>
          <w:szCs w:val="30"/>
          <w:highlight w:val="none"/>
          <w:lang w:val="en-US" w:eastAsia="zh-CN"/>
        </w:rPr>
        <w:t>3</w:t>
      </w:r>
      <w:r>
        <w:rPr>
          <w:rFonts w:hint="eastAsia" w:ascii="Times New Roman" w:hAnsi="Times New Roman" w:eastAsia="仿宋_GB2312" w:cs="仿宋_GB2312"/>
          <w:kern w:val="0"/>
          <w:sz w:val="30"/>
          <w:szCs w:val="30"/>
          <w:highlight w:val="none"/>
        </w:rPr>
        <w:t>年本单位国内公务接待</w:t>
      </w:r>
      <w:r>
        <w:rPr>
          <w:rFonts w:hint="eastAsia" w:ascii="Times New Roman" w:hAnsi="Times New Roman" w:eastAsia="仿宋_GB2312" w:cs="Times New Roman"/>
          <w:kern w:val="0"/>
          <w:sz w:val="30"/>
          <w:szCs w:val="30"/>
          <w:highlight w:val="none"/>
          <w:lang w:eastAsia="zh-CN"/>
        </w:rPr>
        <w:t>0</w:t>
      </w:r>
      <w:r>
        <w:rPr>
          <w:rFonts w:hint="eastAsia" w:ascii="Times New Roman" w:hAnsi="Times New Roman" w:eastAsia="仿宋_GB2312" w:cs="仿宋_GB2312"/>
          <w:kern w:val="0"/>
          <w:sz w:val="30"/>
          <w:szCs w:val="30"/>
          <w:highlight w:val="none"/>
        </w:rPr>
        <w:t>批次，</w:t>
      </w:r>
      <w:r>
        <w:rPr>
          <w:rFonts w:hint="eastAsia" w:ascii="Times New Roman" w:hAnsi="Times New Roman" w:eastAsia="仿宋_GB2312" w:cs="Times New Roman"/>
          <w:kern w:val="0"/>
          <w:sz w:val="30"/>
          <w:szCs w:val="30"/>
          <w:highlight w:val="none"/>
          <w:lang w:eastAsia="zh-CN"/>
        </w:rPr>
        <w:t>0</w:t>
      </w:r>
      <w:r>
        <w:rPr>
          <w:rFonts w:hint="eastAsia" w:ascii="Times New Roman" w:hAnsi="Times New Roman" w:eastAsia="仿宋_GB2312" w:cs="仿宋_GB2312"/>
          <w:kern w:val="0"/>
          <w:sz w:val="30"/>
          <w:szCs w:val="30"/>
          <w:highlight w:val="none"/>
        </w:rPr>
        <w:t>人次；其中，外事接待</w:t>
      </w:r>
      <w:r>
        <w:rPr>
          <w:rFonts w:hint="eastAsia" w:ascii="Times New Roman" w:hAnsi="Times New Roman" w:eastAsia="仿宋_GB2312" w:cs="Times New Roman"/>
          <w:kern w:val="0"/>
          <w:sz w:val="30"/>
          <w:szCs w:val="30"/>
          <w:highlight w:val="none"/>
          <w:lang w:eastAsia="zh-CN"/>
        </w:rPr>
        <w:t>0</w:t>
      </w:r>
      <w:r>
        <w:rPr>
          <w:rFonts w:hint="eastAsia" w:ascii="Times New Roman" w:hAnsi="Times New Roman" w:eastAsia="仿宋_GB2312" w:cs="仿宋_GB2312"/>
          <w:kern w:val="0"/>
          <w:sz w:val="30"/>
          <w:szCs w:val="30"/>
          <w:highlight w:val="none"/>
        </w:rPr>
        <w:t>批次，</w:t>
      </w:r>
      <w:r>
        <w:rPr>
          <w:rFonts w:hint="eastAsia" w:ascii="Times New Roman" w:hAnsi="Times New Roman" w:eastAsia="仿宋_GB2312" w:cs="Times New Roman"/>
          <w:kern w:val="0"/>
          <w:sz w:val="30"/>
          <w:szCs w:val="30"/>
          <w:highlight w:val="none"/>
          <w:lang w:eastAsia="zh-CN"/>
        </w:rPr>
        <w:t>0</w:t>
      </w:r>
      <w:r>
        <w:rPr>
          <w:rFonts w:hint="eastAsia" w:ascii="Times New Roman" w:hAnsi="Times New Roman" w:eastAsia="仿宋_GB2312" w:cs="仿宋_GB2312"/>
          <w:kern w:val="0"/>
          <w:sz w:val="30"/>
          <w:szCs w:val="30"/>
          <w:highlight w:val="none"/>
        </w:rPr>
        <w:t>人次。</w:t>
      </w:r>
    </w:p>
    <w:p w14:paraId="37446BB6">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highlight w:val="none"/>
        </w:rPr>
      </w:pPr>
      <w:r>
        <w:rPr>
          <w:rFonts w:hint="eastAsia" w:ascii="Times New Roman" w:hAnsi="Times New Roman" w:eastAsia="黑体" w:cs="黑体"/>
          <w:b/>
          <w:bCs/>
          <w:kern w:val="0"/>
          <w:sz w:val="30"/>
          <w:szCs w:val="30"/>
          <w:highlight w:val="none"/>
        </w:rPr>
        <w:t>十、机关运行经费支出情况说明</w:t>
      </w:r>
    </w:p>
    <w:p w14:paraId="1F976D86">
      <w:pPr>
        <w:autoSpaceDE w:val="0"/>
        <w:autoSpaceDN w:val="0"/>
        <w:adjustRightInd w:val="0"/>
        <w:spacing w:line="580" w:lineRule="exact"/>
        <w:ind w:firstLine="600"/>
        <w:jc w:val="left"/>
        <w:rPr>
          <w:rFonts w:ascii="Times New Roman" w:hAnsi="Times New Roman" w:eastAsia="仿宋_GB2312" w:cs="Times New Roman"/>
          <w:kern w:val="0"/>
          <w:sz w:val="30"/>
          <w:szCs w:val="30"/>
          <w:highlight w:val="none"/>
        </w:rPr>
      </w:pPr>
      <w:r>
        <w:rPr>
          <w:rFonts w:hint="eastAsia" w:ascii="Times New Roman" w:hAnsi="Times New Roman" w:eastAsia="仿宋_GB2312" w:cs="仿宋_GB2312"/>
          <w:sz w:val="30"/>
          <w:szCs w:val="30"/>
          <w:highlight w:val="none"/>
          <w:lang w:eastAsia="zh-CN"/>
        </w:rPr>
        <w:t>天津市第一中心医院2023年度无机关运行经费。</w:t>
      </w:r>
    </w:p>
    <w:p w14:paraId="0FA35C85">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highlight w:val="none"/>
        </w:rPr>
      </w:pPr>
      <w:r>
        <w:rPr>
          <w:rFonts w:hint="eastAsia" w:ascii="Times New Roman" w:hAnsi="Times New Roman" w:eastAsia="黑体" w:cs="黑体"/>
          <w:b/>
          <w:bCs/>
          <w:kern w:val="0"/>
          <w:sz w:val="30"/>
          <w:szCs w:val="30"/>
          <w:highlight w:val="none"/>
        </w:rPr>
        <w:t>十一、政府采购支出情况说明</w:t>
      </w:r>
    </w:p>
    <w:p w14:paraId="0612749D">
      <w:pPr>
        <w:autoSpaceDE w:val="0"/>
        <w:autoSpaceDN w:val="0"/>
        <w:adjustRightInd w:val="0"/>
        <w:spacing w:line="600" w:lineRule="exact"/>
        <w:ind w:firstLine="600"/>
        <w:jc w:val="left"/>
        <w:rPr>
          <w:rFonts w:ascii="Times New Roman" w:hAnsi="Times New Roman" w:eastAsia="楷体" w:cs="Times New Roman"/>
          <w:kern w:val="0"/>
          <w:sz w:val="30"/>
          <w:szCs w:val="30"/>
          <w:highlight w:val="none"/>
        </w:rPr>
      </w:pPr>
      <w:r>
        <w:rPr>
          <w:rFonts w:hint="eastAsia" w:ascii="Times New Roman" w:hAnsi="Times New Roman" w:eastAsia="仿宋_GB2312" w:cs="仿宋_GB2312"/>
          <w:color w:val="000000"/>
          <w:kern w:val="0"/>
          <w:sz w:val="30"/>
          <w:szCs w:val="30"/>
          <w:highlight w:val="none"/>
          <w:lang w:eastAsia="zh-CN"/>
        </w:rPr>
        <w:t>天津市第一中心医院</w:t>
      </w:r>
      <w:r>
        <w:rPr>
          <w:rFonts w:hint="eastAsia" w:ascii="Times New Roman" w:hAnsi="Times New Roman" w:eastAsia="宋体" w:cs="宋体"/>
          <w:color w:val="000000"/>
          <w:kern w:val="0"/>
          <w:sz w:val="30"/>
          <w:szCs w:val="30"/>
          <w:highlight w:val="none"/>
          <w:lang w:eastAsia="zh-CN"/>
        </w:rPr>
        <w:t>2023</w:t>
      </w:r>
      <w:r>
        <w:rPr>
          <w:rFonts w:hint="eastAsia" w:ascii="Times New Roman" w:hAnsi="Times New Roman" w:eastAsia="仿宋_GB2312" w:cs="仿宋_GB2312"/>
          <w:color w:val="000000"/>
          <w:kern w:val="0"/>
          <w:sz w:val="30"/>
          <w:szCs w:val="30"/>
          <w:highlight w:val="none"/>
        </w:rPr>
        <w:t>年</w:t>
      </w:r>
      <w:r>
        <w:rPr>
          <w:rFonts w:hint="eastAsia" w:ascii="Times New Roman" w:hAnsi="Times New Roman" w:eastAsia="仿宋_GB2312" w:cs="仿宋_GB2312"/>
          <w:sz w:val="30"/>
          <w:szCs w:val="30"/>
          <w:highlight w:val="none"/>
        </w:rPr>
        <w:t>政府</w:t>
      </w:r>
      <w:r>
        <w:rPr>
          <w:rFonts w:hint="eastAsia" w:ascii="Times New Roman" w:hAnsi="Times New Roman" w:eastAsia="仿宋_GB2312" w:cs="仿宋_GB2312"/>
          <w:color w:val="000000"/>
          <w:kern w:val="0"/>
          <w:sz w:val="30"/>
          <w:szCs w:val="30"/>
          <w:highlight w:val="none"/>
        </w:rPr>
        <w:t>采购支出总额</w:t>
      </w:r>
      <w:r>
        <w:rPr>
          <w:rFonts w:hint="eastAsia" w:ascii="Times New Roman" w:hAnsi="Times New Roman" w:eastAsia="仿宋_GB2312" w:cs="Times New Roman"/>
          <w:kern w:val="0"/>
          <w:sz w:val="30"/>
          <w:szCs w:val="30"/>
          <w:highlight w:val="none"/>
          <w:lang w:eastAsia="zh-CN"/>
        </w:rPr>
        <w:t>9,028,523.70</w:t>
      </w:r>
      <w:r>
        <w:rPr>
          <w:rFonts w:hint="eastAsia" w:ascii="Times New Roman" w:hAnsi="Times New Roman" w:eastAsia="仿宋_GB2312" w:cs="仿宋_GB2312"/>
          <w:color w:val="000000"/>
          <w:kern w:val="0"/>
          <w:sz w:val="30"/>
          <w:szCs w:val="30"/>
          <w:highlight w:val="none"/>
        </w:rPr>
        <w:t>元，其中：政府采购货物支出</w:t>
      </w:r>
      <w:r>
        <w:rPr>
          <w:rFonts w:hint="eastAsia" w:ascii="Times New Roman" w:hAnsi="Times New Roman" w:eastAsia="仿宋_GB2312" w:cs="Times New Roman"/>
          <w:kern w:val="0"/>
          <w:sz w:val="30"/>
          <w:szCs w:val="30"/>
          <w:highlight w:val="none"/>
          <w:lang w:eastAsia="zh-CN"/>
        </w:rPr>
        <w:t>8,709,988.70</w:t>
      </w:r>
      <w:r>
        <w:rPr>
          <w:rFonts w:hint="eastAsia" w:ascii="Times New Roman" w:hAnsi="Times New Roman" w:eastAsia="仿宋_GB2312" w:cs="仿宋_GB2312"/>
          <w:color w:val="000000"/>
          <w:kern w:val="0"/>
          <w:sz w:val="30"/>
          <w:szCs w:val="30"/>
          <w:highlight w:val="none"/>
        </w:rPr>
        <w:t>元、政府采购工程支出</w:t>
      </w:r>
      <w:r>
        <w:rPr>
          <w:rFonts w:hint="eastAsia" w:ascii="Times New Roman" w:hAnsi="Times New Roman" w:eastAsia="仿宋_GB2312" w:cs="Times New Roman"/>
          <w:kern w:val="0"/>
          <w:sz w:val="30"/>
          <w:szCs w:val="30"/>
          <w:highlight w:val="none"/>
          <w:lang w:eastAsia="zh-CN"/>
        </w:rPr>
        <w:t>0.00</w:t>
      </w:r>
      <w:r>
        <w:rPr>
          <w:rFonts w:hint="eastAsia" w:ascii="Times New Roman" w:hAnsi="Times New Roman" w:eastAsia="仿宋_GB2312" w:cs="仿宋_GB2312"/>
          <w:color w:val="000000"/>
          <w:kern w:val="0"/>
          <w:sz w:val="30"/>
          <w:szCs w:val="30"/>
          <w:highlight w:val="none"/>
        </w:rPr>
        <w:t>元、政府采购服务支出</w:t>
      </w:r>
      <w:r>
        <w:rPr>
          <w:rFonts w:hint="eastAsia" w:ascii="Times New Roman" w:hAnsi="Times New Roman" w:eastAsia="仿宋_GB2312" w:cs="Times New Roman"/>
          <w:kern w:val="0"/>
          <w:sz w:val="30"/>
          <w:szCs w:val="30"/>
          <w:highlight w:val="none"/>
          <w:lang w:eastAsia="zh-CN"/>
        </w:rPr>
        <w:t>318,535.00</w:t>
      </w:r>
      <w:r>
        <w:rPr>
          <w:rFonts w:hint="eastAsia" w:ascii="Times New Roman" w:hAnsi="Times New Roman" w:eastAsia="仿宋_GB2312" w:cs="仿宋_GB2312"/>
          <w:color w:val="000000"/>
          <w:kern w:val="0"/>
          <w:sz w:val="30"/>
          <w:szCs w:val="30"/>
          <w:highlight w:val="none"/>
        </w:rPr>
        <w:t>元。授予中小企业合同金额</w:t>
      </w:r>
      <w:r>
        <w:rPr>
          <w:rFonts w:hint="eastAsia" w:ascii="Times New Roman" w:hAnsi="Times New Roman" w:eastAsia="仿宋_GB2312" w:cs="Times New Roman"/>
          <w:kern w:val="0"/>
          <w:sz w:val="30"/>
          <w:szCs w:val="30"/>
          <w:highlight w:val="none"/>
          <w:lang w:eastAsia="zh-CN"/>
        </w:rPr>
        <w:t>9,028,523.70</w:t>
      </w:r>
      <w:r>
        <w:rPr>
          <w:rFonts w:hint="eastAsia" w:ascii="Times New Roman" w:hAnsi="Times New Roman" w:eastAsia="仿宋_GB2312" w:cs="仿宋_GB2312"/>
          <w:color w:val="000000"/>
          <w:kern w:val="0"/>
          <w:sz w:val="30"/>
          <w:szCs w:val="30"/>
          <w:highlight w:val="none"/>
        </w:rPr>
        <w:t>元，占政府采购支出总额的</w:t>
      </w:r>
      <w:r>
        <w:rPr>
          <w:rFonts w:hint="eastAsia" w:ascii="Times New Roman" w:hAnsi="Times New Roman" w:eastAsia="仿宋_GB2312" w:cs="Times New Roman"/>
          <w:kern w:val="0"/>
          <w:sz w:val="30"/>
          <w:szCs w:val="30"/>
          <w:highlight w:val="none"/>
          <w:lang w:eastAsia="zh-CN"/>
        </w:rPr>
        <w:t>100.0%</w:t>
      </w:r>
      <w:r>
        <w:rPr>
          <w:rFonts w:hint="eastAsia" w:ascii="Times New Roman" w:hAnsi="Times New Roman" w:eastAsia="仿宋_GB2312" w:cs="仿宋_GB2312"/>
          <w:color w:val="000000"/>
          <w:kern w:val="0"/>
          <w:sz w:val="30"/>
          <w:szCs w:val="30"/>
          <w:highlight w:val="none"/>
        </w:rPr>
        <w:t>，其中：授予小微企业合同金额</w:t>
      </w:r>
      <w:r>
        <w:rPr>
          <w:rFonts w:hint="eastAsia" w:ascii="Times New Roman" w:hAnsi="Times New Roman" w:eastAsia="仿宋_GB2312" w:cs="Times New Roman"/>
          <w:kern w:val="0"/>
          <w:sz w:val="30"/>
          <w:szCs w:val="30"/>
          <w:highlight w:val="none"/>
          <w:lang w:eastAsia="zh-CN"/>
        </w:rPr>
        <w:t>9,028,523.70</w:t>
      </w:r>
      <w:r>
        <w:rPr>
          <w:rFonts w:hint="eastAsia" w:ascii="Times New Roman" w:hAnsi="Times New Roman" w:eastAsia="仿宋_GB2312" w:cs="仿宋_GB2312"/>
          <w:color w:val="000000"/>
          <w:kern w:val="0"/>
          <w:sz w:val="30"/>
          <w:szCs w:val="30"/>
          <w:highlight w:val="none"/>
        </w:rPr>
        <w:t>元，占政府采购支出总额的</w:t>
      </w:r>
      <w:r>
        <w:rPr>
          <w:rFonts w:hint="eastAsia" w:ascii="Times New Roman" w:hAnsi="Times New Roman" w:eastAsia="仿宋_GB2312" w:cs="Times New Roman"/>
          <w:kern w:val="0"/>
          <w:sz w:val="30"/>
          <w:szCs w:val="30"/>
          <w:highlight w:val="none"/>
          <w:lang w:eastAsia="zh-CN"/>
        </w:rPr>
        <w:t>100.0%</w:t>
      </w:r>
      <w:r>
        <w:rPr>
          <w:rFonts w:hint="eastAsia" w:ascii="Times New Roman" w:hAnsi="Times New Roman" w:eastAsia="仿宋_GB2312" w:cs="仿宋_GB2312"/>
          <w:color w:val="000000"/>
          <w:kern w:val="0"/>
          <w:sz w:val="30"/>
          <w:szCs w:val="30"/>
          <w:highlight w:val="none"/>
        </w:rPr>
        <w:t>；</w:t>
      </w:r>
      <w:r>
        <w:rPr>
          <w:rFonts w:hint="eastAsia" w:ascii="Times New Roman" w:hAnsi="Times New Roman" w:eastAsia="仿宋_GB2312" w:cs="仿宋_GB2312"/>
          <w:kern w:val="0"/>
          <w:sz w:val="30"/>
          <w:szCs w:val="30"/>
          <w:highlight w:val="none"/>
        </w:rPr>
        <w:t>货物采购授予中小企业合同金额占货物支出金额的</w:t>
      </w:r>
      <w:r>
        <w:rPr>
          <w:rFonts w:hint="eastAsia" w:ascii="Times New Roman" w:hAnsi="Times New Roman" w:eastAsia="仿宋_GB2312" w:cs="仿宋_GB2312"/>
          <w:sz w:val="30"/>
          <w:szCs w:val="30"/>
          <w:highlight w:val="none"/>
          <w:lang w:eastAsia="zh-CN"/>
        </w:rPr>
        <w:t>100.0</w:t>
      </w:r>
      <w:r>
        <w:rPr>
          <w:rFonts w:ascii="Times New Roman" w:hAnsi="Times New Roman" w:eastAsia="仿宋_GB2312" w:cs="仿宋_GB2312"/>
          <w:kern w:val="0"/>
          <w:sz w:val="30"/>
          <w:szCs w:val="30"/>
          <w:highlight w:val="none"/>
        </w:rPr>
        <w:t>%</w:t>
      </w:r>
      <w:r>
        <w:rPr>
          <w:rFonts w:hint="eastAsia" w:ascii="Times New Roman" w:hAnsi="Times New Roman" w:eastAsia="仿宋_GB2312" w:cs="仿宋_GB2312"/>
          <w:kern w:val="0"/>
          <w:sz w:val="30"/>
          <w:szCs w:val="30"/>
          <w:highlight w:val="none"/>
        </w:rPr>
        <w:t>，工程采购授予中小企业合同金额占工程支出金额的</w:t>
      </w:r>
      <w:r>
        <w:rPr>
          <w:rFonts w:hint="eastAsia" w:ascii="Times New Roman" w:hAnsi="Times New Roman" w:eastAsia="仿宋_GB2312" w:cs="仿宋_GB2312"/>
          <w:sz w:val="30"/>
          <w:szCs w:val="30"/>
          <w:highlight w:val="none"/>
          <w:lang w:eastAsia="zh-CN"/>
        </w:rPr>
        <w:t>0.0</w:t>
      </w:r>
      <w:r>
        <w:rPr>
          <w:rFonts w:ascii="Times New Roman" w:hAnsi="Times New Roman" w:eastAsia="仿宋_GB2312" w:cs="仿宋_GB2312"/>
          <w:kern w:val="0"/>
          <w:sz w:val="30"/>
          <w:szCs w:val="30"/>
          <w:highlight w:val="none"/>
        </w:rPr>
        <w:t>%</w:t>
      </w:r>
      <w:r>
        <w:rPr>
          <w:rFonts w:hint="eastAsia" w:ascii="Times New Roman" w:hAnsi="Times New Roman" w:eastAsia="仿宋_GB2312" w:cs="仿宋_GB2312"/>
          <w:kern w:val="0"/>
          <w:sz w:val="30"/>
          <w:szCs w:val="30"/>
          <w:highlight w:val="none"/>
        </w:rPr>
        <w:t>，服务采购授予中小企业合同金额占服务支出金额的</w:t>
      </w:r>
      <w:r>
        <w:rPr>
          <w:rFonts w:hint="eastAsia" w:ascii="Times New Roman" w:hAnsi="Times New Roman" w:eastAsia="仿宋_GB2312" w:cs="仿宋_GB2312"/>
          <w:sz w:val="30"/>
          <w:szCs w:val="30"/>
          <w:highlight w:val="none"/>
          <w:lang w:eastAsia="zh-CN"/>
        </w:rPr>
        <w:t>100.0</w:t>
      </w:r>
      <w:r>
        <w:rPr>
          <w:rFonts w:ascii="Times New Roman" w:hAnsi="Times New Roman" w:eastAsia="仿宋_GB2312" w:cs="仿宋_GB2312"/>
          <w:kern w:val="0"/>
          <w:sz w:val="30"/>
          <w:szCs w:val="30"/>
          <w:highlight w:val="none"/>
        </w:rPr>
        <w:t>%</w:t>
      </w:r>
      <w:r>
        <w:rPr>
          <w:rFonts w:hint="eastAsia" w:ascii="Times New Roman" w:hAnsi="Times New Roman" w:eastAsia="仿宋_GB2312" w:cs="仿宋_GB2312"/>
          <w:kern w:val="0"/>
          <w:sz w:val="30"/>
          <w:szCs w:val="30"/>
          <w:highlight w:val="none"/>
        </w:rPr>
        <w:t>。</w:t>
      </w:r>
    </w:p>
    <w:p w14:paraId="743BF8FD">
      <w:pPr>
        <w:keepNext/>
        <w:keepLines/>
        <w:autoSpaceDE w:val="0"/>
        <w:autoSpaceDN w:val="0"/>
        <w:adjustRightInd w:val="0"/>
        <w:spacing w:line="600" w:lineRule="exact"/>
        <w:ind w:firstLine="602"/>
        <w:jc w:val="left"/>
        <w:outlineLvl w:val="1"/>
        <w:rPr>
          <w:rFonts w:hint="eastAsia" w:ascii="Times New Roman" w:hAnsi="Times New Roman" w:eastAsia="黑体" w:cs="黑体"/>
          <w:b/>
          <w:bCs/>
          <w:kern w:val="0"/>
          <w:sz w:val="30"/>
          <w:szCs w:val="30"/>
          <w:highlight w:val="none"/>
        </w:rPr>
      </w:pPr>
      <w:r>
        <w:rPr>
          <w:rFonts w:hint="eastAsia" w:ascii="Times New Roman" w:hAnsi="Times New Roman" w:eastAsia="黑体" w:cs="黑体"/>
          <w:b/>
          <w:bCs/>
          <w:kern w:val="0"/>
          <w:sz w:val="30"/>
          <w:szCs w:val="30"/>
          <w:highlight w:val="none"/>
          <w:lang w:val="zh-CN"/>
        </w:rPr>
        <w:t>十二、</w:t>
      </w:r>
      <w:r>
        <w:rPr>
          <w:rFonts w:hint="eastAsia" w:ascii="Times New Roman" w:hAnsi="Times New Roman" w:eastAsia="黑体" w:cs="黑体"/>
          <w:b/>
          <w:bCs/>
          <w:kern w:val="0"/>
          <w:sz w:val="30"/>
          <w:szCs w:val="30"/>
          <w:highlight w:val="none"/>
        </w:rPr>
        <w:t>国有资产占有使用情况说明</w:t>
      </w:r>
    </w:p>
    <w:p w14:paraId="7C03176B">
      <w:pPr>
        <w:autoSpaceDE w:val="0"/>
        <w:autoSpaceDN w:val="0"/>
        <w:adjustRightInd w:val="0"/>
        <w:spacing w:line="600" w:lineRule="exact"/>
        <w:ind w:firstLine="720"/>
        <w:jc w:val="left"/>
        <w:rPr>
          <w:rFonts w:hint="eastAsia" w:ascii="Times New Roman" w:hAnsi="Times New Roman" w:eastAsia="仿宋_GB2312" w:cs="仿宋_GB2312"/>
          <w:sz w:val="30"/>
          <w:szCs w:val="30"/>
          <w:highlight w:val="none"/>
          <w:lang w:eastAsia="zh-CN"/>
        </w:rPr>
      </w:pPr>
      <w:r>
        <w:rPr>
          <w:rFonts w:hint="eastAsia" w:ascii="Times New Roman" w:hAnsi="Times New Roman" w:eastAsia="仿宋_GB2312" w:cs="仿宋_GB2312"/>
          <w:color w:val="000000"/>
          <w:kern w:val="0"/>
          <w:sz w:val="30"/>
          <w:szCs w:val="30"/>
          <w:highlight w:val="none"/>
        </w:rPr>
        <w:t>截至</w:t>
      </w:r>
      <w:r>
        <w:rPr>
          <w:rFonts w:ascii="Times New Roman" w:hAnsi="Times New Roman" w:eastAsia="宋体" w:cs="宋体"/>
          <w:color w:val="000000"/>
          <w:kern w:val="0"/>
          <w:sz w:val="30"/>
          <w:szCs w:val="30"/>
          <w:highlight w:val="none"/>
        </w:rPr>
        <w:t>202</w:t>
      </w:r>
      <w:r>
        <w:rPr>
          <w:rFonts w:hint="eastAsia" w:ascii="Times New Roman" w:hAnsi="Times New Roman" w:eastAsia="宋体" w:cs="宋体"/>
          <w:color w:val="000000"/>
          <w:kern w:val="0"/>
          <w:sz w:val="30"/>
          <w:szCs w:val="30"/>
          <w:highlight w:val="none"/>
          <w:lang w:val="en-US" w:eastAsia="zh-CN"/>
        </w:rPr>
        <w:t>3</w:t>
      </w:r>
      <w:r>
        <w:rPr>
          <w:rFonts w:hint="eastAsia" w:ascii="Times New Roman" w:hAnsi="Times New Roman" w:eastAsia="仿宋_GB2312" w:cs="仿宋_GB2312"/>
          <w:color w:val="000000"/>
          <w:kern w:val="0"/>
          <w:sz w:val="30"/>
          <w:szCs w:val="30"/>
          <w:highlight w:val="none"/>
        </w:rPr>
        <w:t>年</w:t>
      </w:r>
      <w:r>
        <w:rPr>
          <w:rFonts w:ascii="Times New Roman" w:hAnsi="Times New Roman" w:eastAsia="仿宋_GB2312" w:cs="Times New Roman"/>
          <w:color w:val="000000"/>
          <w:kern w:val="0"/>
          <w:sz w:val="30"/>
          <w:szCs w:val="30"/>
          <w:highlight w:val="none"/>
        </w:rPr>
        <w:t>12</w:t>
      </w:r>
      <w:r>
        <w:rPr>
          <w:rFonts w:hint="eastAsia" w:ascii="Times New Roman" w:hAnsi="Times New Roman" w:eastAsia="仿宋_GB2312" w:cs="仿宋_GB2312"/>
          <w:color w:val="000000"/>
          <w:kern w:val="0"/>
          <w:sz w:val="30"/>
          <w:szCs w:val="30"/>
          <w:highlight w:val="none"/>
        </w:rPr>
        <w:t>月</w:t>
      </w:r>
      <w:r>
        <w:rPr>
          <w:rFonts w:ascii="Times New Roman" w:hAnsi="Times New Roman" w:eastAsia="仿宋_GB2312" w:cs="Times New Roman"/>
          <w:color w:val="000000"/>
          <w:kern w:val="0"/>
          <w:sz w:val="30"/>
          <w:szCs w:val="30"/>
          <w:highlight w:val="none"/>
        </w:rPr>
        <w:t>31</w:t>
      </w:r>
      <w:r>
        <w:rPr>
          <w:rFonts w:hint="eastAsia" w:ascii="Times New Roman" w:hAnsi="Times New Roman" w:eastAsia="仿宋_GB2312" w:cs="仿宋_GB2312"/>
          <w:color w:val="000000"/>
          <w:kern w:val="0"/>
          <w:sz w:val="30"/>
          <w:szCs w:val="30"/>
          <w:highlight w:val="none"/>
        </w:rPr>
        <w:t>日，</w:t>
      </w:r>
      <w:r>
        <w:rPr>
          <w:rFonts w:hint="eastAsia" w:ascii="Times New Roman" w:hAnsi="Times New Roman" w:eastAsia="仿宋_GB2312" w:cs="仿宋_GB2312"/>
          <w:color w:val="000000"/>
          <w:kern w:val="0"/>
          <w:sz w:val="30"/>
          <w:szCs w:val="30"/>
          <w:highlight w:val="none"/>
          <w:lang w:eastAsia="zh-CN"/>
        </w:rPr>
        <w:t>天津市第一中心医院</w:t>
      </w:r>
      <w:r>
        <w:rPr>
          <w:rFonts w:hint="eastAsia" w:ascii="Times New Roman" w:hAnsi="Times New Roman" w:eastAsia="仿宋_GB2312" w:cs="仿宋_GB2312"/>
          <w:color w:val="000000"/>
          <w:kern w:val="0"/>
          <w:sz w:val="30"/>
          <w:szCs w:val="30"/>
          <w:highlight w:val="none"/>
        </w:rPr>
        <w:t>共有车辆</w:t>
      </w:r>
      <w:r>
        <w:rPr>
          <w:rFonts w:hint="eastAsia" w:ascii="Times New Roman" w:hAnsi="Times New Roman" w:eastAsia="仿宋_GB2312" w:cs="Times New Roman"/>
          <w:kern w:val="0"/>
          <w:sz w:val="30"/>
          <w:szCs w:val="30"/>
          <w:highlight w:val="none"/>
          <w:lang w:eastAsia="zh-CN"/>
        </w:rPr>
        <w:t>22</w:t>
      </w:r>
      <w:r>
        <w:rPr>
          <w:rFonts w:hint="eastAsia" w:ascii="Times New Roman" w:hAnsi="Times New Roman" w:eastAsia="仿宋_GB2312" w:cs="仿宋_GB2312"/>
          <w:color w:val="000000"/>
          <w:kern w:val="0"/>
          <w:sz w:val="30"/>
          <w:szCs w:val="30"/>
          <w:highlight w:val="none"/>
        </w:rPr>
        <w:t>辆，其中：</w:t>
      </w:r>
      <w:r>
        <w:rPr>
          <w:rFonts w:ascii="Times New Roman" w:hAnsi="Times New Roman" w:eastAsia="仿宋_GB2312" w:cs="Times New Roman"/>
          <w:kern w:val="0"/>
          <w:sz w:val="30"/>
          <w:szCs w:val="30"/>
          <w:highlight w:val="none"/>
        </w:rPr>
        <w:t>其他用车</w:t>
      </w:r>
      <w:r>
        <w:rPr>
          <w:rFonts w:hint="eastAsia" w:ascii="Times New Roman" w:hAnsi="Times New Roman" w:eastAsia="仿宋_GB2312" w:cs="Times New Roman"/>
          <w:kern w:val="0"/>
          <w:sz w:val="30"/>
          <w:szCs w:val="30"/>
          <w:highlight w:val="none"/>
          <w:lang w:eastAsia="zh-CN"/>
        </w:rPr>
        <w:t>22</w:t>
      </w:r>
      <w:r>
        <w:rPr>
          <w:rFonts w:ascii="Times New Roman" w:hAnsi="Times New Roman" w:eastAsia="仿宋_GB2312" w:cs="Times New Roman"/>
          <w:kern w:val="0"/>
          <w:sz w:val="30"/>
          <w:szCs w:val="30"/>
          <w:highlight w:val="none"/>
        </w:rPr>
        <w:t>辆</w:t>
      </w:r>
      <w:r>
        <w:rPr>
          <w:rFonts w:hint="eastAsia" w:ascii="Times New Roman" w:hAnsi="Times New Roman" w:eastAsia="仿宋_GB2312" w:cs="Times New Roman"/>
          <w:kern w:val="0"/>
          <w:sz w:val="30"/>
          <w:szCs w:val="30"/>
          <w:highlight w:val="none"/>
        </w:rPr>
        <w:t>，其他用车主要包括</w:t>
      </w:r>
      <w:r>
        <w:rPr>
          <w:rFonts w:hint="eastAsia" w:ascii="Times New Roman" w:hAnsi="Times New Roman" w:eastAsia="仿宋_GB2312" w:cs="仿宋_GB2312"/>
          <w:sz w:val="30"/>
          <w:szCs w:val="30"/>
          <w:highlight w:val="none"/>
          <w:lang w:eastAsia="zh-CN"/>
        </w:rPr>
        <w:t>救护车</w:t>
      </w:r>
      <w:r>
        <w:rPr>
          <w:rFonts w:hint="eastAsia" w:ascii="Times New Roman" w:hAnsi="Times New Roman" w:eastAsia="仿宋_GB2312" w:cs="仿宋_GB2312"/>
          <w:kern w:val="0"/>
          <w:sz w:val="30"/>
          <w:szCs w:val="30"/>
          <w:highlight w:val="none"/>
          <w:lang w:val="zh-CN"/>
        </w:rPr>
        <w:t>。</w:t>
      </w:r>
      <w:r>
        <w:rPr>
          <w:rFonts w:hint="eastAsia" w:ascii="Times New Roman" w:hAnsi="Times New Roman" w:eastAsia="仿宋_GB2312" w:cs="仿宋_GB2312"/>
          <w:kern w:val="0"/>
          <w:sz w:val="30"/>
          <w:szCs w:val="30"/>
          <w:highlight w:val="none"/>
        </w:rPr>
        <w:t>单价</w:t>
      </w:r>
      <w:r>
        <w:rPr>
          <w:rFonts w:ascii="Times New Roman" w:hAnsi="Times New Roman" w:eastAsia="仿宋_GB2312" w:cs="仿宋_GB2312"/>
          <w:kern w:val="0"/>
          <w:sz w:val="30"/>
          <w:szCs w:val="30"/>
          <w:highlight w:val="none"/>
        </w:rPr>
        <w:t>100</w:t>
      </w:r>
      <w:r>
        <w:rPr>
          <w:rFonts w:hint="eastAsia" w:ascii="Times New Roman" w:hAnsi="Times New Roman" w:eastAsia="仿宋_GB2312" w:cs="仿宋_GB2312"/>
          <w:kern w:val="0"/>
          <w:sz w:val="30"/>
          <w:szCs w:val="30"/>
          <w:highlight w:val="none"/>
        </w:rPr>
        <w:t>万元以上的设备</w:t>
      </w:r>
      <w:r>
        <w:rPr>
          <w:rFonts w:hint="eastAsia" w:ascii="Times New Roman" w:hAnsi="Times New Roman" w:eastAsia="仿宋_GB2312" w:cs="Times New Roman"/>
          <w:kern w:val="0"/>
          <w:sz w:val="30"/>
          <w:szCs w:val="30"/>
          <w:highlight w:val="none"/>
          <w:lang w:eastAsia="zh-CN"/>
        </w:rPr>
        <w:t>207</w:t>
      </w:r>
      <w:r>
        <w:rPr>
          <w:rFonts w:hint="eastAsia" w:ascii="Times New Roman" w:hAnsi="Times New Roman" w:eastAsia="仿宋_GB2312" w:cs="仿宋_GB2312"/>
          <w:kern w:val="0"/>
          <w:sz w:val="30"/>
          <w:szCs w:val="30"/>
          <w:highlight w:val="none"/>
        </w:rPr>
        <w:t>台（套）。</w:t>
      </w:r>
    </w:p>
    <w:p w14:paraId="02DB5626">
      <w:pPr>
        <w:keepNext/>
        <w:keepLines/>
        <w:autoSpaceDE w:val="0"/>
        <w:autoSpaceDN w:val="0"/>
        <w:adjustRightInd w:val="0"/>
        <w:spacing w:line="600" w:lineRule="exact"/>
        <w:ind w:firstLine="602"/>
        <w:jc w:val="left"/>
        <w:outlineLvl w:val="1"/>
        <w:rPr>
          <w:rFonts w:hint="eastAsia" w:ascii="Times New Roman" w:hAnsi="Times New Roman" w:eastAsia="黑体" w:cs="黑体"/>
          <w:b/>
          <w:bCs/>
          <w:kern w:val="0"/>
          <w:sz w:val="30"/>
          <w:szCs w:val="30"/>
          <w:highlight w:val="none"/>
        </w:rPr>
      </w:pPr>
      <w:r>
        <w:rPr>
          <w:rFonts w:hint="eastAsia" w:ascii="Times New Roman" w:hAnsi="Times New Roman" w:eastAsia="黑体" w:cs="黑体"/>
          <w:b/>
          <w:bCs/>
          <w:kern w:val="0"/>
          <w:sz w:val="30"/>
          <w:szCs w:val="30"/>
          <w:highlight w:val="none"/>
          <w:lang w:val="zh-CN"/>
        </w:rPr>
        <w:t>十三、</w:t>
      </w:r>
      <w:r>
        <w:rPr>
          <w:rFonts w:hint="eastAsia" w:ascii="Times New Roman" w:hAnsi="Times New Roman" w:eastAsia="黑体" w:cs="黑体"/>
          <w:b/>
          <w:bCs/>
          <w:kern w:val="0"/>
          <w:sz w:val="30"/>
          <w:szCs w:val="30"/>
          <w:highlight w:val="none"/>
        </w:rPr>
        <w:t>预算绩效情况说明</w:t>
      </w:r>
    </w:p>
    <w:p w14:paraId="35042752">
      <w:pPr>
        <w:autoSpaceDE w:val="0"/>
        <w:autoSpaceDN w:val="0"/>
        <w:adjustRightInd w:val="0"/>
        <w:spacing w:line="600" w:lineRule="exact"/>
        <w:ind w:firstLine="600"/>
        <w:jc w:val="left"/>
        <w:rPr>
          <w:rFonts w:hint="eastAsia" w:ascii="Times New Roman" w:hAnsi="Times New Roman" w:eastAsia="仿宋_GB2312" w:cs="仿宋_GB2312"/>
          <w:kern w:val="0"/>
          <w:sz w:val="30"/>
          <w:szCs w:val="30"/>
          <w:highlight w:val="none"/>
        </w:rPr>
      </w:pPr>
      <w:r>
        <w:rPr>
          <w:rFonts w:hint="eastAsia" w:ascii="Times New Roman" w:hAnsi="Times New Roman" w:eastAsia="仿宋_GB2312" w:cs="仿宋_GB2312"/>
          <w:sz w:val="30"/>
          <w:szCs w:val="30"/>
          <w:highlight w:val="none"/>
          <w:lang w:eastAsia="zh-CN"/>
        </w:rPr>
        <w:t>天津市第一中心2023年度已对33个市级项目开展绩效自评，涉及金额215381703元，自评结果已随部门决算一并公开。</w:t>
      </w:r>
    </w:p>
    <w:p w14:paraId="69F0655E">
      <w:pPr>
        <w:keepNext/>
        <w:keepLines/>
        <w:autoSpaceDE w:val="0"/>
        <w:autoSpaceDN w:val="0"/>
        <w:adjustRightInd w:val="0"/>
        <w:spacing w:line="600" w:lineRule="exact"/>
        <w:ind w:firstLine="602"/>
        <w:jc w:val="left"/>
        <w:outlineLvl w:val="1"/>
        <w:rPr>
          <w:rFonts w:hint="eastAsia" w:ascii="Times New Roman" w:hAnsi="Times New Roman" w:eastAsia="仿宋_GB2312" w:cs="仿宋_GB2312"/>
          <w:kern w:val="0"/>
          <w:sz w:val="30"/>
          <w:szCs w:val="30"/>
          <w:highlight w:val="none"/>
        </w:rPr>
      </w:pPr>
      <w:r>
        <w:rPr>
          <w:rFonts w:hint="eastAsia" w:ascii="Times New Roman" w:hAnsi="Times New Roman" w:eastAsia="黑体" w:cs="黑体"/>
          <w:b/>
          <w:bCs/>
          <w:kern w:val="0"/>
          <w:sz w:val="30"/>
          <w:szCs w:val="30"/>
          <w:highlight w:val="none"/>
          <w:lang w:val="zh-CN"/>
        </w:rPr>
        <w:t>十四、</w:t>
      </w:r>
      <w:r>
        <w:rPr>
          <w:rFonts w:hint="eastAsia" w:ascii="Times New Roman" w:hAnsi="Times New Roman" w:eastAsia="黑体" w:cs="黑体"/>
          <w:b/>
          <w:bCs/>
          <w:kern w:val="0"/>
          <w:sz w:val="30"/>
          <w:szCs w:val="30"/>
          <w:highlight w:val="none"/>
        </w:rPr>
        <w:t>教育、医疗卫生、社会保障和就业、住房保障、涉农补贴等民生支出情况说明</w:t>
      </w:r>
    </w:p>
    <w:p w14:paraId="31F510C3">
      <w:pPr>
        <w:autoSpaceDE w:val="0"/>
        <w:autoSpaceDN w:val="0"/>
        <w:adjustRightInd w:val="0"/>
        <w:spacing w:line="600" w:lineRule="exact"/>
        <w:ind w:firstLine="600"/>
        <w:jc w:val="left"/>
        <w:rPr>
          <w:rFonts w:hint="eastAsia" w:ascii="Times New Roman" w:hAnsi="Times New Roman" w:eastAsia="仿宋_GB2312" w:cs="仿宋_GB2312"/>
          <w:kern w:val="0"/>
          <w:sz w:val="30"/>
          <w:szCs w:val="30"/>
          <w:highlight w:val="none"/>
        </w:rPr>
      </w:pPr>
      <w:r>
        <w:rPr>
          <w:rFonts w:hint="eastAsia" w:ascii="Times New Roman" w:hAnsi="Times New Roman" w:eastAsia="仿宋_GB2312" w:cs="仿宋_GB2312"/>
          <w:sz w:val="30"/>
          <w:szCs w:val="30"/>
          <w:highlight w:val="none"/>
          <w:lang w:eastAsia="zh-CN"/>
        </w:rPr>
        <w:t>天津市第一中心医院不属于乡、镇、街级单位，不涉及公开2023年度教育、医疗卫生、社会保障和就业、住房保障、涉农补贴等民生支出情况。</w:t>
      </w:r>
    </w:p>
    <w:p w14:paraId="4F5ECB8F">
      <w:pPr>
        <w:autoSpaceDE w:val="0"/>
        <w:autoSpaceDN w:val="0"/>
        <w:adjustRightInd w:val="0"/>
        <w:jc w:val="left"/>
        <w:rPr>
          <w:rFonts w:ascii="Times New Roman" w:hAnsi="Times New Roman" w:eastAsia="仿宋_GB2312" w:cs="仿宋_GB2312"/>
          <w:b/>
          <w:bCs/>
          <w:color w:val="000000"/>
          <w:kern w:val="0"/>
          <w:sz w:val="30"/>
          <w:szCs w:val="30"/>
          <w:highlight w:val="none"/>
        </w:rPr>
      </w:pPr>
      <w:r>
        <w:rPr>
          <w:rFonts w:ascii="Times New Roman" w:hAnsi="Times New Roman" w:eastAsia="仿宋_GB2312" w:cs="仿宋_GB2312"/>
          <w:b/>
          <w:bCs/>
          <w:color w:val="000000"/>
          <w:kern w:val="0"/>
          <w:sz w:val="30"/>
          <w:szCs w:val="30"/>
          <w:highlight w:val="none"/>
        </w:rPr>
        <w:br w:type="page"/>
      </w:r>
    </w:p>
    <w:p w14:paraId="6D45F29B">
      <w:pPr>
        <w:keepNext/>
        <w:keepLines/>
        <w:autoSpaceDE w:val="0"/>
        <w:autoSpaceDN w:val="0"/>
        <w:adjustRightInd w:val="0"/>
        <w:spacing w:line="600" w:lineRule="exact"/>
        <w:jc w:val="center"/>
        <w:outlineLvl w:val="0"/>
        <w:rPr>
          <w:rFonts w:ascii="Times New Roman" w:hAnsi="Times New Roman" w:eastAsia="方正小标宋简体" w:cs="方正小标宋简体"/>
          <w:kern w:val="44"/>
          <w:sz w:val="44"/>
          <w:szCs w:val="44"/>
          <w:highlight w:val="none"/>
        </w:rPr>
      </w:pPr>
      <w:r>
        <w:rPr>
          <w:rFonts w:hint="eastAsia" w:ascii="Times New Roman" w:hAnsi="Times New Roman" w:eastAsia="方正小标宋简体" w:cs="方正小标宋简体"/>
          <w:kern w:val="44"/>
          <w:sz w:val="44"/>
          <w:szCs w:val="44"/>
          <w:highlight w:val="none"/>
        </w:rPr>
        <w:t>第四部分名词解释</w:t>
      </w:r>
    </w:p>
    <w:p w14:paraId="2DC2C3A8">
      <w:pPr>
        <w:autoSpaceDE w:val="0"/>
        <w:autoSpaceDN w:val="0"/>
        <w:adjustRightInd w:val="0"/>
        <w:spacing w:line="600" w:lineRule="exact"/>
        <w:ind w:firstLine="600"/>
        <w:jc w:val="left"/>
        <w:rPr>
          <w:rFonts w:ascii="Times New Roman" w:hAnsi="Times New Roman" w:eastAsia="仿宋_GB2312" w:cs="仿宋_GB2312"/>
          <w:kern w:val="0"/>
          <w:sz w:val="30"/>
          <w:szCs w:val="30"/>
          <w:highlight w:val="none"/>
        </w:rPr>
      </w:pPr>
    </w:p>
    <w:p w14:paraId="0B20D29A">
      <w:pPr>
        <w:autoSpaceDE w:val="0"/>
        <w:autoSpaceDN w:val="0"/>
        <w:adjustRightInd w:val="0"/>
        <w:spacing w:line="600" w:lineRule="exact"/>
        <w:ind w:firstLine="600"/>
        <w:jc w:val="left"/>
        <w:rPr>
          <w:rFonts w:ascii="Times New Roman" w:hAnsi="Times New Roman" w:eastAsia="仿宋_GB2312" w:cs="仿宋_GB2312"/>
          <w:kern w:val="0"/>
          <w:sz w:val="30"/>
          <w:szCs w:val="30"/>
          <w:highlight w:val="none"/>
        </w:rPr>
      </w:pPr>
      <w:r>
        <w:rPr>
          <w:rFonts w:hint="eastAsia" w:ascii="Times New Roman" w:hAnsi="Times New Roman" w:eastAsia="仿宋_GB2312" w:cs="仿宋_GB2312"/>
          <w:kern w:val="0"/>
          <w:sz w:val="30"/>
          <w:szCs w:val="30"/>
          <w:highlight w:val="none"/>
          <w:lang w:val="en-US" w:eastAsia="zh-CN"/>
        </w:rPr>
        <w:t>1</w:t>
      </w:r>
      <w:r>
        <w:rPr>
          <w:rFonts w:ascii="Times New Roman" w:hAnsi="Times New Roman" w:eastAsia="仿宋_GB2312" w:cs="仿宋_GB2312"/>
          <w:kern w:val="0"/>
          <w:sz w:val="30"/>
          <w:szCs w:val="30"/>
          <w:highlight w:val="none"/>
        </w:rPr>
        <w:t>.</w:t>
      </w:r>
      <w:r>
        <w:rPr>
          <w:rFonts w:hint="eastAsia" w:ascii="Times New Roman" w:hAnsi="Times New Roman" w:eastAsia="仿宋_GB2312" w:cs="仿宋_GB2312"/>
          <w:kern w:val="0"/>
          <w:sz w:val="30"/>
          <w:szCs w:val="30"/>
          <w:highlight w:val="none"/>
        </w:rPr>
        <w:t>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14:paraId="43FE0BA4">
      <w:pPr>
        <w:autoSpaceDE w:val="0"/>
        <w:autoSpaceDN w:val="0"/>
        <w:adjustRightInd w:val="0"/>
        <w:spacing w:line="600" w:lineRule="exact"/>
        <w:ind w:firstLine="600"/>
        <w:jc w:val="left"/>
        <w:rPr>
          <w:rFonts w:ascii="Times New Roman" w:hAnsi="Times New Roman" w:eastAsia="仿宋_GB2312" w:cs="仿宋_GB2312"/>
          <w:kern w:val="0"/>
          <w:sz w:val="30"/>
          <w:szCs w:val="30"/>
          <w:highlight w:val="none"/>
        </w:rPr>
      </w:pPr>
      <w:r>
        <w:rPr>
          <w:rFonts w:ascii="Times New Roman" w:hAnsi="Times New Roman" w:eastAsia="仿宋_GB2312" w:cs="仿宋_GB2312"/>
          <w:kern w:val="0"/>
          <w:sz w:val="30"/>
          <w:szCs w:val="30"/>
          <w:highlight w:val="none"/>
        </w:rPr>
        <w:t>2.</w:t>
      </w:r>
      <w:r>
        <w:rPr>
          <w:rFonts w:hint="eastAsia" w:ascii="Times New Roman" w:hAnsi="Times New Roman" w:eastAsia="仿宋_GB2312" w:cs="仿宋_GB2312"/>
          <w:kern w:val="0"/>
          <w:sz w:val="30"/>
          <w:szCs w:val="30"/>
          <w:highlight w:val="none"/>
        </w:rPr>
        <w:t>机关运行经费。反映为保障行政单位（含参照公务员管理事业单位）运行用于购买货物和服务的各项资金，包括办公及印刷费、邮电费、差旅费、会议费、福利费、日常维修费及一般设备购置费、办公用房水电费、办公用房取暖费、办公用房物业管理费、公务用车运行维护费以及其他费用。</w:t>
      </w:r>
    </w:p>
    <w:p w14:paraId="21CD2B0B">
      <w:pPr>
        <w:autoSpaceDE w:val="0"/>
        <w:autoSpaceDN w:val="0"/>
        <w:adjustRightInd w:val="0"/>
        <w:spacing w:line="600" w:lineRule="exact"/>
        <w:ind w:firstLine="600"/>
        <w:jc w:val="left"/>
        <w:rPr>
          <w:rFonts w:ascii="Times New Roman" w:hAnsi="Times New Roman"/>
          <w:highlight w:val="none"/>
        </w:rPr>
      </w:pPr>
      <w:r>
        <w:rPr>
          <w:rFonts w:ascii="Times New Roman" w:hAnsi="Times New Roman" w:eastAsia="仿宋_GB2312" w:cs="仿宋_GB2312"/>
          <w:kern w:val="0"/>
          <w:sz w:val="30"/>
          <w:szCs w:val="30"/>
          <w:highlight w:val="none"/>
        </w:rPr>
        <w:t>3.“</w:t>
      </w:r>
      <w:r>
        <w:rPr>
          <w:rFonts w:hint="eastAsia" w:ascii="Times New Roman" w:hAnsi="Times New Roman" w:eastAsia="仿宋_GB2312" w:cs="仿宋_GB2312"/>
          <w:kern w:val="0"/>
          <w:sz w:val="30"/>
          <w:szCs w:val="30"/>
          <w:highlight w:val="none"/>
        </w:rPr>
        <w:t>三公</w:t>
      </w:r>
      <w:r>
        <w:rPr>
          <w:rFonts w:ascii="Times New Roman" w:hAnsi="Times New Roman" w:eastAsia="仿宋_GB2312" w:cs="仿宋_GB2312"/>
          <w:kern w:val="0"/>
          <w:sz w:val="30"/>
          <w:szCs w:val="30"/>
          <w:highlight w:val="none"/>
        </w:rPr>
        <w:t>”</w:t>
      </w:r>
      <w:r>
        <w:rPr>
          <w:rFonts w:hint="eastAsia" w:ascii="Times New Roman" w:hAnsi="Times New Roman" w:eastAsia="仿宋_GB2312" w:cs="仿宋_GB2312"/>
          <w:kern w:val="0"/>
          <w:sz w:val="30"/>
          <w:szCs w:val="30"/>
          <w:highlight w:val="none"/>
        </w:rPr>
        <w:t>经费。是指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燃料费、维修费、过桥过路费、保险费、安全奖励费用等支出；公务接待费反映单位按规定开支的各类公务接待（含外宾接待）支出。</w:t>
      </w: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微软雅黑"/>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D22358"/>
    <w:multiLevelType w:val="singleLevel"/>
    <w:tmpl w:val="E9D22358"/>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wMmNhY2Q0YjJjMzhlOWVjYTcyOTAzNTU3M2Q0MzQifQ=="/>
  </w:docVars>
  <w:rsids>
    <w:rsidRoot w:val="006A094D"/>
    <w:rsid w:val="00013A12"/>
    <w:rsid w:val="0002687D"/>
    <w:rsid w:val="00047C6F"/>
    <w:rsid w:val="000528EE"/>
    <w:rsid w:val="000719FD"/>
    <w:rsid w:val="000B5C71"/>
    <w:rsid w:val="000D4B98"/>
    <w:rsid w:val="00127EFA"/>
    <w:rsid w:val="00142888"/>
    <w:rsid w:val="00152EEB"/>
    <w:rsid w:val="00153077"/>
    <w:rsid w:val="00167CB7"/>
    <w:rsid w:val="001A0E4F"/>
    <w:rsid w:val="001B5C3C"/>
    <w:rsid w:val="001C0399"/>
    <w:rsid w:val="001D587E"/>
    <w:rsid w:val="002124F6"/>
    <w:rsid w:val="00264B59"/>
    <w:rsid w:val="002A4997"/>
    <w:rsid w:val="002E6086"/>
    <w:rsid w:val="00302490"/>
    <w:rsid w:val="003227B2"/>
    <w:rsid w:val="003536BE"/>
    <w:rsid w:val="003B25FB"/>
    <w:rsid w:val="004A482F"/>
    <w:rsid w:val="004F39BF"/>
    <w:rsid w:val="005062D7"/>
    <w:rsid w:val="005175E6"/>
    <w:rsid w:val="00525157"/>
    <w:rsid w:val="005349A2"/>
    <w:rsid w:val="00575537"/>
    <w:rsid w:val="005D1367"/>
    <w:rsid w:val="005D3F56"/>
    <w:rsid w:val="00654D17"/>
    <w:rsid w:val="006623EC"/>
    <w:rsid w:val="006A094D"/>
    <w:rsid w:val="006D2409"/>
    <w:rsid w:val="006E65DB"/>
    <w:rsid w:val="00776FF3"/>
    <w:rsid w:val="0078156E"/>
    <w:rsid w:val="00786E74"/>
    <w:rsid w:val="007D1285"/>
    <w:rsid w:val="007E49E1"/>
    <w:rsid w:val="007F6DA7"/>
    <w:rsid w:val="008174D5"/>
    <w:rsid w:val="00885126"/>
    <w:rsid w:val="0089698B"/>
    <w:rsid w:val="008D48A9"/>
    <w:rsid w:val="00941A30"/>
    <w:rsid w:val="00977DCC"/>
    <w:rsid w:val="009820CF"/>
    <w:rsid w:val="00982A8B"/>
    <w:rsid w:val="009A7ED3"/>
    <w:rsid w:val="009D74D7"/>
    <w:rsid w:val="00A57AE7"/>
    <w:rsid w:val="00A871C6"/>
    <w:rsid w:val="00AF71AE"/>
    <w:rsid w:val="00B33C70"/>
    <w:rsid w:val="00B75228"/>
    <w:rsid w:val="00B811F1"/>
    <w:rsid w:val="00B81B9F"/>
    <w:rsid w:val="00BC763A"/>
    <w:rsid w:val="00BC7D6F"/>
    <w:rsid w:val="00BD3CAC"/>
    <w:rsid w:val="00BF697A"/>
    <w:rsid w:val="00C52E77"/>
    <w:rsid w:val="00C65A44"/>
    <w:rsid w:val="00C76AC3"/>
    <w:rsid w:val="00C83EB4"/>
    <w:rsid w:val="00D4505A"/>
    <w:rsid w:val="00D65B41"/>
    <w:rsid w:val="00DC3234"/>
    <w:rsid w:val="00DC3CD0"/>
    <w:rsid w:val="00DD60B5"/>
    <w:rsid w:val="00E7602B"/>
    <w:rsid w:val="00E964B2"/>
    <w:rsid w:val="00EA6549"/>
    <w:rsid w:val="00F007FE"/>
    <w:rsid w:val="017D4A3B"/>
    <w:rsid w:val="01A10E80"/>
    <w:rsid w:val="029D518A"/>
    <w:rsid w:val="03311B3F"/>
    <w:rsid w:val="03901927"/>
    <w:rsid w:val="05CA273A"/>
    <w:rsid w:val="05E55C53"/>
    <w:rsid w:val="069A035E"/>
    <w:rsid w:val="07267E44"/>
    <w:rsid w:val="07425D24"/>
    <w:rsid w:val="07A23238"/>
    <w:rsid w:val="085D1644"/>
    <w:rsid w:val="0A7D5D1A"/>
    <w:rsid w:val="0AF018E5"/>
    <w:rsid w:val="0B1428B6"/>
    <w:rsid w:val="0B2716A6"/>
    <w:rsid w:val="0B2E72C7"/>
    <w:rsid w:val="0C411F0C"/>
    <w:rsid w:val="0CDD71F7"/>
    <w:rsid w:val="0D664210"/>
    <w:rsid w:val="0DA7267B"/>
    <w:rsid w:val="0DFB4FC0"/>
    <w:rsid w:val="0E267459"/>
    <w:rsid w:val="0EBB5316"/>
    <w:rsid w:val="0F4936D8"/>
    <w:rsid w:val="0FC42B69"/>
    <w:rsid w:val="0FF22FB9"/>
    <w:rsid w:val="118916FB"/>
    <w:rsid w:val="1221675E"/>
    <w:rsid w:val="12C34799"/>
    <w:rsid w:val="12D93FBD"/>
    <w:rsid w:val="13463246"/>
    <w:rsid w:val="142D4C1F"/>
    <w:rsid w:val="15F1161D"/>
    <w:rsid w:val="161D1413"/>
    <w:rsid w:val="1666200B"/>
    <w:rsid w:val="16C5644A"/>
    <w:rsid w:val="16D76A65"/>
    <w:rsid w:val="17C84C4C"/>
    <w:rsid w:val="1949378C"/>
    <w:rsid w:val="199A3054"/>
    <w:rsid w:val="1A1104E0"/>
    <w:rsid w:val="1A404E9F"/>
    <w:rsid w:val="1AA54268"/>
    <w:rsid w:val="1B173F14"/>
    <w:rsid w:val="1B4641B9"/>
    <w:rsid w:val="1B520DB0"/>
    <w:rsid w:val="1B5D5A1E"/>
    <w:rsid w:val="1B7A68EC"/>
    <w:rsid w:val="1CCA277E"/>
    <w:rsid w:val="1DFB572F"/>
    <w:rsid w:val="1EC5396A"/>
    <w:rsid w:val="1EFB0588"/>
    <w:rsid w:val="20DB5BFD"/>
    <w:rsid w:val="21365D81"/>
    <w:rsid w:val="21556D90"/>
    <w:rsid w:val="21C24E94"/>
    <w:rsid w:val="21D73FEC"/>
    <w:rsid w:val="23736675"/>
    <w:rsid w:val="24B227A0"/>
    <w:rsid w:val="25BA7C7E"/>
    <w:rsid w:val="2666570F"/>
    <w:rsid w:val="26DB4B05"/>
    <w:rsid w:val="271B299E"/>
    <w:rsid w:val="27DD7C53"/>
    <w:rsid w:val="284E3F62"/>
    <w:rsid w:val="28612632"/>
    <w:rsid w:val="29AF632A"/>
    <w:rsid w:val="2A924D25"/>
    <w:rsid w:val="2BC20F83"/>
    <w:rsid w:val="2C800474"/>
    <w:rsid w:val="2C8F0671"/>
    <w:rsid w:val="2D5A0475"/>
    <w:rsid w:val="2DA05507"/>
    <w:rsid w:val="2E487134"/>
    <w:rsid w:val="2E8C3709"/>
    <w:rsid w:val="2F146650"/>
    <w:rsid w:val="2FA13000"/>
    <w:rsid w:val="2FC74096"/>
    <w:rsid w:val="2FF951BC"/>
    <w:rsid w:val="307A24E3"/>
    <w:rsid w:val="307A6987"/>
    <w:rsid w:val="30BB5227"/>
    <w:rsid w:val="313F372D"/>
    <w:rsid w:val="32146967"/>
    <w:rsid w:val="32443D30"/>
    <w:rsid w:val="32672F3B"/>
    <w:rsid w:val="33032C66"/>
    <w:rsid w:val="332D3FC0"/>
    <w:rsid w:val="354D7E20"/>
    <w:rsid w:val="35523B6D"/>
    <w:rsid w:val="35747E49"/>
    <w:rsid w:val="35823AFA"/>
    <w:rsid w:val="358C1096"/>
    <w:rsid w:val="35B6328D"/>
    <w:rsid w:val="35F44AE6"/>
    <w:rsid w:val="36144696"/>
    <w:rsid w:val="36580FD3"/>
    <w:rsid w:val="381E22EE"/>
    <w:rsid w:val="3AF76503"/>
    <w:rsid w:val="3B0209DD"/>
    <w:rsid w:val="3B0C198B"/>
    <w:rsid w:val="3B483C6E"/>
    <w:rsid w:val="3B776F10"/>
    <w:rsid w:val="3B7C7A57"/>
    <w:rsid w:val="3B8E1539"/>
    <w:rsid w:val="3D600CB3"/>
    <w:rsid w:val="3E426F14"/>
    <w:rsid w:val="3EB42189"/>
    <w:rsid w:val="3EC62D97"/>
    <w:rsid w:val="3EEF0B4C"/>
    <w:rsid w:val="3EF16375"/>
    <w:rsid w:val="3F2006FA"/>
    <w:rsid w:val="40CF0629"/>
    <w:rsid w:val="4137238C"/>
    <w:rsid w:val="41CC0838"/>
    <w:rsid w:val="43612B5A"/>
    <w:rsid w:val="43805C0B"/>
    <w:rsid w:val="43B835F7"/>
    <w:rsid w:val="44552CED"/>
    <w:rsid w:val="44EB17AA"/>
    <w:rsid w:val="45984C48"/>
    <w:rsid w:val="47727F60"/>
    <w:rsid w:val="485D29BF"/>
    <w:rsid w:val="49374433"/>
    <w:rsid w:val="49DA103E"/>
    <w:rsid w:val="4A2319E6"/>
    <w:rsid w:val="4A8E57CD"/>
    <w:rsid w:val="4CA13CE1"/>
    <w:rsid w:val="4CD450D8"/>
    <w:rsid w:val="4D14664A"/>
    <w:rsid w:val="4D210FC7"/>
    <w:rsid w:val="4D720D77"/>
    <w:rsid w:val="4DB9688D"/>
    <w:rsid w:val="4E4E3945"/>
    <w:rsid w:val="4E8C7B5A"/>
    <w:rsid w:val="4F167E2F"/>
    <w:rsid w:val="4F391364"/>
    <w:rsid w:val="4FA424E7"/>
    <w:rsid w:val="4FBD62FD"/>
    <w:rsid w:val="4FD337AC"/>
    <w:rsid w:val="4FE523CE"/>
    <w:rsid w:val="5236167C"/>
    <w:rsid w:val="52A37398"/>
    <w:rsid w:val="53C102A5"/>
    <w:rsid w:val="54380029"/>
    <w:rsid w:val="54A61249"/>
    <w:rsid w:val="54DA25A4"/>
    <w:rsid w:val="54F16968"/>
    <w:rsid w:val="55AC416B"/>
    <w:rsid w:val="564C0516"/>
    <w:rsid w:val="5713248B"/>
    <w:rsid w:val="57833AC4"/>
    <w:rsid w:val="578735B4"/>
    <w:rsid w:val="58C3061C"/>
    <w:rsid w:val="58E93DFA"/>
    <w:rsid w:val="599E4BE5"/>
    <w:rsid w:val="5A1C0F73"/>
    <w:rsid w:val="5A964C59"/>
    <w:rsid w:val="5C170425"/>
    <w:rsid w:val="5CD612EB"/>
    <w:rsid w:val="5D032E6E"/>
    <w:rsid w:val="5DC66F7C"/>
    <w:rsid w:val="5DFB2606"/>
    <w:rsid w:val="5E015742"/>
    <w:rsid w:val="5EB1144C"/>
    <w:rsid w:val="5EF37781"/>
    <w:rsid w:val="5F6D7131"/>
    <w:rsid w:val="5F7856C5"/>
    <w:rsid w:val="5FF67529"/>
    <w:rsid w:val="60147984"/>
    <w:rsid w:val="615900E7"/>
    <w:rsid w:val="61D75AE1"/>
    <w:rsid w:val="620B43D3"/>
    <w:rsid w:val="624C1682"/>
    <w:rsid w:val="63B80927"/>
    <w:rsid w:val="643C1F0A"/>
    <w:rsid w:val="644D16E1"/>
    <w:rsid w:val="64925346"/>
    <w:rsid w:val="654D2EBE"/>
    <w:rsid w:val="654E5711"/>
    <w:rsid w:val="656942F9"/>
    <w:rsid w:val="65B558C0"/>
    <w:rsid w:val="665D659A"/>
    <w:rsid w:val="667274BD"/>
    <w:rsid w:val="66BC2A82"/>
    <w:rsid w:val="672E57FA"/>
    <w:rsid w:val="68200AB4"/>
    <w:rsid w:val="68C169D0"/>
    <w:rsid w:val="6B4F5D3F"/>
    <w:rsid w:val="6B963EB9"/>
    <w:rsid w:val="6BBB51FE"/>
    <w:rsid w:val="6BF54B38"/>
    <w:rsid w:val="6C054650"/>
    <w:rsid w:val="6C1D5E3D"/>
    <w:rsid w:val="6CF70A69"/>
    <w:rsid w:val="6CFE17CB"/>
    <w:rsid w:val="6D5E0469"/>
    <w:rsid w:val="6D854C1A"/>
    <w:rsid w:val="6E080CF4"/>
    <w:rsid w:val="6EB34837"/>
    <w:rsid w:val="70180DF5"/>
    <w:rsid w:val="704716DB"/>
    <w:rsid w:val="708C6A78"/>
    <w:rsid w:val="70E84C6C"/>
    <w:rsid w:val="70FE35D3"/>
    <w:rsid w:val="71600CA6"/>
    <w:rsid w:val="7260119C"/>
    <w:rsid w:val="72701CEB"/>
    <w:rsid w:val="72B3615B"/>
    <w:rsid w:val="73724CC1"/>
    <w:rsid w:val="7455465F"/>
    <w:rsid w:val="75AB44BA"/>
    <w:rsid w:val="78A32123"/>
    <w:rsid w:val="79B7155B"/>
    <w:rsid w:val="79DC07A5"/>
    <w:rsid w:val="7ACA53E2"/>
    <w:rsid w:val="7B143565"/>
    <w:rsid w:val="7E2E7A36"/>
    <w:rsid w:val="7E703A39"/>
    <w:rsid w:val="7F3217A8"/>
    <w:rsid w:val="7FDD7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9"/>
    <w:qFormat/>
    <w:uiPriority w:val="99"/>
    <w:pPr>
      <w:autoSpaceDE w:val="0"/>
      <w:autoSpaceDN w:val="0"/>
      <w:adjustRightInd w:val="0"/>
      <w:jc w:val="left"/>
      <w:outlineLvl w:val="0"/>
    </w:pPr>
    <w:rPr>
      <w:rFonts w:ascii="方正小标宋简体" w:eastAsia="方正小标宋简体"/>
      <w:kern w:val="0"/>
      <w:sz w:val="24"/>
      <w:szCs w:val="24"/>
    </w:rPr>
  </w:style>
  <w:style w:type="paragraph" w:styleId="3">
    <w:name w:val="heading 2"/>
    <w:basedOn w:val="1"/>
    <w:next w:val="1"/>
    <w:link w:val="10"/>
    <w:autoRedefine/>
    <w:qFormat/>
    <w:uiPriority w:val="99"/>
    <w:pPr>
      <w:autoSpaceDE w:val="0"/>
      <w:autoSpaceDN w:val="0"/>
      <w:adjustRightInd w:val="0"/>
      <w:jc w:val="left"/>
      <w:outlineLvl w:val="1"/>
    </w:pPr>
    <w:rPr>
      <w:rFonts w:ascii="方正小标宋简体" w:eastAsia="方正小标宋简体"/>
      <w:kern w:val="0"/>
      <w:sz w:val="24"/>
      <w:szCs w:val="24"/>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autoRedefine/>
    <w:semiHidden/>
    <w:unhideWhenUsed/>
    <w:qFormat/>
    <w:uiPriority w:val="99"/>
    <w:pPr>
      <w:jc w:val="left"/>
    </w:p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autoRedefine/>
    <w:unhideWhenUsed/>
    <w:qFormat/>
    <w:uiPriority w:val="99"/>
    <w:pPr>
      <w:tabs>
        <w:tab w:val="center" w:pos="4153"/>
        <w:tab w:val="right" w:pos="8306"/>
      </w:tabs>
      <w:snapToGrid w:val="0"/>
      <w:jc w:val="center"/>
    </w:pPr>
    <w:rPr>
      <w:sz w:val="18"/>
      <w:szCs w:val="18"/>
    </w:rPr>
  </w:style>
  <w:style w:type="character" w:customStyle="1" w:styleId="9">
    <w:name w:val="标题 1 字符"/>
    <w:basedOn w:val="8"/>
    <w:link w:val="2"/>
    <w:autoRedefine/>
    <w:qFormat/>
    <w:uiPriority w:val="99"/>
    <w:rPr>
      <w:rFonts w:ascii="方正小标宋简体" w:eastAsia="方正小标宋简体"/>
      <w:kern w:val="0"/>
      <w:sz w:val="24"/>
      <w:szCs w:val="24"/>
    </w:rPr>
  </w:style>
  <w:style w:type="character" w:customStyle="1" w:styleId="10">
    <w:name w:val="标题 2 字符"/>
    <w:basedOn w:val="8"/>
    <w:link w:val="3"/>
    <w:autoRedefine/>
    <w:qFormat/>
    <w:uiPriority w:val="99"/>
    <w:rPr>
      <w:rFonts w:ascii="方正小标宋简体" w:eastAsia="方正小标宋简体"/>
      <w:kern w:val="0"/>
      <w:sz w:val="24"/>
      <w:szCs w:val="24"/>
    </w:rPr>
  </w:style>
  <w:style w:type="character" w:customStyle="1" w:styleId="11">
    <w:name w:val="页眉 字符"/>
    <w:basedOn w:val="8"/>
    <w:link w:val="6"/>
    <w:qFormat/>
    <w:uiPriority w:val="99"/>
    <w:rPr>
      <w:sz w:val="18"/>
      <w:szCs w:val="18"/>
    </w:rPr>
  </w:style>
  <w:style w:type="character" w:customStyle="1" w:styleId="12">
    <w:name w:val="页脚 字符"/>
    <w:basedOn w:val="8"/>
    <w:link w:val="5"/>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5763</Words>
  <Characters>6875</Characters>
  <Lines>82</Lines>
  <Paragraphs>23</Paragraphs>
  <TotalTime>2</TotalTime>
  <ScaleCrop>false</ScaleCrop>
  <LinksUpToDate>false</LinksUpToDate>
  <CharactersWithSpaces>6967</CharactersWithSpaces>
  <Application>WPS Office_12.1.0.17813_F1E327BC-269C-435d-A152-05C5408002CA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2023-08-11T08:11:00Z</dcterms:created>
  <dc:creator>office</dc:creator>
  <cp:lastModifiedBy>Silence</cp:lastModifiedBy>
  <dcterms:modified xsi:type="dcterms:W3CDTF">2024-08-30T00:33:27Z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2052-12.1.0.17813</vt:lpwstr>
  </property>
  <property fmtid="{D5CDD505-2E9C-101B-9397-08002B2CF9AE}" pid="3" name="ICV">
    <vt:lpwstr>A44E0A178634409BBBA50D5636087390_13</vt:lpwstr>
  </property>
</Properties>
</file>